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Relationships xmlns="http://schemas.openxmlformats.org/package/2006/relationships">
  <Relationship Id="rId1" Type="http://schemas.openxmlformats.org/officeDocument/2006/relationships/extended-properties" Target="docProps/app.xml"/>
  <Relationship Id="rId2" Type="http://schemas.openxmlformats.org/package/2006/relationships/metadata/core-properties" Target="docProps/core.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spacing w:line="360" w:lineRule="auto"/>
        <w:jc w:val="center"/>
        <w:rPr>
          <w:rFonts w:ascii="宋体" w:hAnsi="宋体"/>
          <w:b/>
          <w:color w:val="FF0000"/>
          <w:spacing w:val="-20"/>
          <w:sz w:val="64"/>
          <w:szCs w:val="64"/>
        </w:rPr>
      </w:pPr>
      <w:r>
        <w:rPr>
          <w:rFonts w:hint="eastAsia" w:ascii="宋体" w:hAnsi="宋体"/>
          <w:b/>
          <w:color w:val="FF0000"/>
          <w:spacing w:val="-20"/>
          <w:sz w:val="64"/>
          <w:szCs w:val="64"/>
        </w:rPr>
        <w:t>湖南科技学院</w:t>
      </w:r>
      <w:r>
        <w:rPr>
          <w:rFonts w:hint="eastAsia" w:ascii="宋体" w:hAnsi="宋体"/>
          <w:b/>
          <w:color w:val="FF0000"/>
          <w:spacing w:val="-20"/>
          <w:sz w:val="64"/>
          <w:szCs w:val="64"/>
          <w:lang w:eastAsia="zh-CN"/>
        </w:rPr>
        <w:t>教学质量管理处</w:t>
      </w:r>
    </w:p>
    <w:p>
      <w:pPr>
        <w:keepNext w:val="0"/>
        <w:keepLines w:val="0"/>
        <w:widowControl/>
        <w:suppressLineNumbers w:val="0"/>
        <w:jc w:val="center"/>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SA"/>
        </w:rPr>
        <w:t>湘科院教发[2022]14号</w:t>
      </w:r>
    </w:p>
    <w:p>
      <w:pPr>
        <w:keepNext w:val="0"/>
        <w:keepLines w:val="0"/>
        <w:widowControl/>
        <w:suppressLineNumbers w:val="0"/>
        <w:shd w:val="clear" w:fill="FFFFFF"/>
        <w:spacing w:before="0" w:beforeAutospacing="0" w:after="0" w:afterAutospacing="0" w:line="315" w:lineRule="atLeast"/>
        <w:ind w:left="0" w:right="0" w:firstLine="0"/>
        <w:jc w:val="center"/>
        <w:rPr>
          <w:rFonts w:ascii="Verdana" w:hAnsi="Verdana" w:cs="Verdana"/>
          <w:b w:val="0"/>
          <w:i w:val="0"/>
          <w:caps w:val="0"/>
          <w:color w:val="auto"/>
          <w:spacing w:val="0"/>
          <w:sz w:val="32"/>
          <w:szCs w:val="32"/>
        </w:rPr>
      </w:pPr>
      <w:r>
        <w:rPr>
          <w:color w:val="FF0000"/>
        </w:rPr>
        <mc:AlternateContent>
          <mc:Choice Requires="wpg">
            <w:drawing>
              <wp:inline distT="0" distB="0" distL="114300" distR="114300">
                <wp:extent cx="7465060" cy="297180"/>
                <wp:effectExtent l="0" t="0" r="0" b="0"/>
                <wp:docPr id="12" name="组合 12"/>
                <wp:cNvGraphicFramePr/>
                <a:graphic xmlns:a="http://schemas.openxmlformats.org/drawingml/2006/main">
                  <a:graphicData uri="http://schemas.microsoft.com/office/word/2010/wordprocessingGroup">
                    <wpg:wgp>
                      <wpg:cNvGrpSpPr/>
                      <wpg:grpSpPr>
                        <a:xfrm>
                          <a:off x="0" y="0"/>
                          <a:ext cx="7465060" cy="297180"/>
                          <a:chOff x="0" y="0"/>
                          <a:chExt cx="11756" cy="468"/>
                        </a:xfrm>
                      </wpg:grpSpPr>
                      <wps:wsp>
                        <wps:cNvPr id="10" name="矩形 10"/>
                        <wps:cNvSpPr>
                          <a:spLocks noChangeAspect="1"/>
                        </wps:cNvSpPr>
                        <wps:spPr>
                          <a:xfrm>
                            <a:off x="0" y="0"/>
                            <a:ext cx="11756" cy="468"/>
                          </a:xfrm>
                          <a:prstGeom prst="rect">
                            <a:avLst/>
                          </a:prstGeom>
                          <a:noFill/>
                          <a:ln>
                            <a:noFill/>
                          </a:ln>
                        </wps:spPr>
                        <wps:bodyPr upright="1"/>
                      </wps:wsp>
                      <wps:wsp>
                        <wps:cNvPr id="11" name="直接连接符 11"/>
                        <wps:cNvCnPr/>
                        <wps:spPr>
                          <a:xfrm flipV="1">
                            <a:off x="0" y="155"/>
                            <a:ext cx="8460" cy="1"/>
                          </a:xfrm>
                          <a:prstGeom prst="line">
                            <a:avLst/>
                          </a:prstGeom>
                          <a:ln w="57150" cap="flat" cmpd="thickThin">
                            <a:solidFill>
                              <a:srgbClr val="FF0000"/>
                            </a:solidFill>
                            <a:prstDash val="solid"/>
                            <a:headEnd type="none" w="med" len="med"/>
                            <a:tailEnd type="none" w="med" len="med"/>
                          </a:ln>
                        </wps:spPr>
                        <wps:bodyPr upright="1"/>
                      </wps:wsp>
                    </wpg:wgp>
                  </a:graphicData>
                </a:graphic>
              </wp:inline>
            </w:drawing>
          </mc:Choice>
          <mc:Fallback>
            <w:pict>
              <v:group id="_x0000_s1026" o:spid="_x0000_s1026" o:spt="203" style="height:23.4pt;width:587.8pt;" coordsize="11756,468" o:gfxdata="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">
                <o:lock v:ext="edit" aspectratio="f"/>
                <v:rect id="_x0000_s1026" o:spid="_x0000_s1026" o:spt="1" style="position:absolute;left:0;top:0;height:468;width:11756;" filled="f" stroked="f" coordsize="21600,21600" o:gfxdata="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QP6QQvQAA&#10;ANsAAAAPAAAAAAAAAAEAIAAAACIAAABkcnMvZG93bnJldi54bWxQSwECFAAUAAAACACHTuJAMy8F&#10;njsAAAA5AAAAEAAAAAAAAAABACAAAAAMAQAAZHJzL3NoYXBleG1sLnhtbFBLBQYAAAAABgAGAFsB&#10;AAC2AwAAAAA=&#10;">
                  <v:fill on="f" focussize="0,0"/>
                  <v:stroke on="f"/>
                  <v:imagedata o:title=""/>
                  <o:lock v:ext="edit" aspectratio="t"/>
                </v:rect>
                <v:line id="_x0000_s1026" o:spid="_x0000_s1026" o:spt="20" style="position:absolute;left:0;top:155;flip:y;height:1;width:8460;" filled="f" stroked="t" coordsize="21600,21600" o:gfxdata="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bNIQvugAAANsA&#10;AAAPAAAAAAAAAAEAIAAAACIAAABkcnMvZG93bnJldi54bWxQSwECFAAUAAAACACHTuJAMy8FnjsA&#10;AAA5AAAAEAAAAAAAAAABACAAAAAJAQAAZHJzL3NoYXBleG1sLnhtbFBLBQYAAAAABgAGAFsBAACz&#10;AwAAAAA=&#10;">
                  <v:fill on="f" focussize="0,0"/>
                  <v:stroke weight="4.5pt" color="#FF0000" linestyle="thickThin" joinstyle="round"/>
                  <v:imagedata o:title=""/>
                  <o:lock v:ext="edit" aspectratio="f"/>
                </v:line>
                <w10:wrap type="none"/>
                <w10:anchorlock/>
              </v:group>
            </w:pict>
          </mc:Fallback>
        </mc:AlternateContent>
      </w:r>
    </w:p>
    <w:p>
      <w:pPr>
        <w:keepNext w:val="0"/>
        <w:keepLines w:val="0"/>
        <w:pageBreakBefore w:val="0"/>
        <w:widowControl/>
        <w:kinsoku/>
        <w:wordWrap w:val="0"/>
        <w:overflowPunct/>
        <w:topLinePunct w:val="0"/>
        <w:autoSpaceDE/>
        <w:autoSpaceDN/>
        <w:bidi w:val="0"/>
        <w:spacing w:line="580" w:lineRule="exact"/>
        <w:ind w:left="0"/>
        <w:jc w:val="center"/>
        <w:textAlignment w:val="auto"/>
        <w:rPr>
          <w:rFonts w:hint="eastAsia" w:asciiTheme="minorEastAsia" w:hAnsiTheme="minorEastAsia" w:cstheme="minorEastAsia"/>
          <w:b/>
          <w:bCs/>
          <w:color w:val="auto"/>
          <w:kern w:val="0"/>
          <w:sz w:val="32"/>
          <w:szCs w:val="32"/>
          <w:lang w:bidi="ar"/>
        </w:rPr>
      </w:pPr>
      <w:r>
        <w:rPr>
          <w:rFonts w:hint="eastAsia" w:asciiTheme="minorEastAsia" w:hAnsiTheme="minorEastAsia" w:cstheme="minorEastAsia"/>
          <w:b/>
          <w:bCs/>
          <w:color w:val="auto"/>
          <w:kern w:val="0"/>
          <w:sz w:val="32"/>
          <w:szCs w:val="32"/>
          <w:lang w:bidi="ar"/>
        </w:rPr>
        <w:t>关于开展20</w:t>
      </w:r>
      <w:r>
        <w:rPr>
          <w:rFonts w:hint="eastAsia" w:asciiTheme="minorEastAsia" w:hAnsiTheme="minorEastAsia" w:cstheme="minorEastAsia"/>
          <w:b/>
          <w:bCs/>
          <w:color w:val="auto"/>
          <w:kern w:val="0"/>
          <w:sz w:val="32"/>
          <w:szCs w:val="32"/>
          <w:lang w:val="en-US" w:eastAsia="zh-CN" w:bidi="ar"/>
        </w:rPr>
        <w:t>22</w:t>
      </w:r>
      <w:r>
        <w:rPr>
          <w:rFonts w:hint="eastAsia" w:asciiTheme="minorEastAsia" w:hAnsiTheme="minorEastAsia" w:cstheme="minorEastAsia"/>
          <w:b/>
          <w:bCs/>
          <w:color w:val="auto"/>
          <w:kern w:val="0"/>
          <w:sz w:val="32"/>
          <w:szCs w:val="32"/>
          <w:lang w:bidi="ar"/>
        </w:rPr>
        <w:t>届本科毕业论文（设计）</w:t>
      </w:r>
      <w:r>
        <w:rPr>
          <w:rFonts w:hint="eastAsia" w:asciiTheme="minorEastAsia" w:hAnsiTheme="minorEastAsia" w:cstheme="minorEastAsia"/>
          <w:b/>
          <w:bCs/>
          <w:color w:val="auto"/>
          <w:kern w:val="0"/>
          <w:sz w:val="32"/>
          <w:szCs w:val="32"/>
          <w:lang w:val="en-US" w:eastAsia="zh-CN" w:bidi="ar"/>
        </w:rPr>
        <w:t>抽检和</w:t>
      </w:r>
      <w:r>
        <w:rPr>
          <w:rFonts w:hint="eastAsia" w:asciiTheme="minorEastAsia" w:hAnsiTheme="minorEastAsia" w:cstheme="minorEastAsia"/>
          <w:b/>
          <w:bCs/>
          <w:color w:val="auto"/>
          <w:kern w:val="0"/>
          <w:sz w:val="32"/>
          <w:szCs w:val="32"/>
          <w:lang w:bidi="ar"/>
        </w:rPr>
        <w:t>校级答辩</w:t>
      </w:r>
    </w:p>
    <w:p>
      <w:pPr>
        <w:keepNext w:val="0"/>
        <w:keepLines w:val="0"/>
        <w:pageBreakBefore w:val="0"/>
        <w:widowControl/>
        <w:kinsoku/>
        <w:wordWrap w:val="0"/>
        <w:overflowPunct/>
        <w:topLinePunct w:val="0"/>
        <w:autoSpaceDE/>
        <w:autoSpaceDN/>
        <w:bidi w:val="0"/>
        <w:spacing w:line="580" w:lineRule="exact"/>
        <w:ind w:left="0"/>
        <w:jc w:val="center"/>
        <w:textAlignment w:val="auto"/>
        <w:rPr>
          <w:rFonts w:asciiTheme="minorEastAsia" w:hAnsiTheme="minorEastAsia" w:cstheme="minorEastAsia"/>
          <w:color w:val="auto"/>
          <w:kern w:val="0"/>
          <w:sz w:val="28"/>
          <w:szCs w:val="28"/>
          <w:lang w:bidi="ar"/>
        </w:rPr>
      </w:pPr>
      <w:r>
        <w:rPr>
          <w:rFonts w:hint="eastAsia" w:asciiTheme="minorEastAsia" w:hAnsiTheme="minorEastAsia" w:cstheme="minorEastAsia"/>
          <w:b/>
          <w:bCs/>
          <w:color w:val="auto"/>
          <w:kern w:val="0"/>
          <w:sz w:val="32"/>
          <w:szCs w:val="32"/>
          <w:lang w:bidi="ar"/>
        </w:rPr>
        <w:t>工作的通知</w:t>
      </w:r>
    </w:p>
    <w:p>
      <w:pPr>
        <w:keepNext w:val="0"/>
        <w:keepLines w:val="0"/>
        <w:pageBreakBefore w:val="0"/>
        <w:widowControl/>
        <w:kinsoku/>
        <w:overflowPunct/>
        <w:topLinePunct w:val="0"/>
        <w:autoSpaceDE/>
        <w:autoSpaceDN/>
        <w:bidi w:val="0"/>
        <w:adjustRightInd w:val="0"/>
        <w:snapToGrid w:val="0"/>
        <w:spacing w:line="580" w:lineRule="exact"/>
        <w:ind w:left="0"/>
        <w:textAlignment w:val="auto"/>
        <w:rPr>
          <w:rFonts w:hint="eastAsia" w:ascii="宋体" w:hAnsi="宋体" w:eastAsia="宋体" w:cs="宋体"/>
          <w:color w:val="auto"/>
          <w:spacing w:val="6"/>
          <w:kern w:val="0"/>
          <w:sz w:val="28"/>
          <w:szCs w:val="28"/>
        </w:rPr>
      </w:pPr>
      <w:r>
        <w:rPr>
          <w:rFonts w:hint="eastAsia" w:ascii="宋体" w:hAnsi="宋体" w:eastAsia="宋体" w:cs="宋体"/>
          <w:color w:val="auto"/>
          <w:spacing w:val="6"/>
          <w:kern w:val="0"/>
          <w:sz w:val="28"/>
          <w:szCs w:val="28"/>
        </w:rPr>
        <w:t>各教学学院：</w:t>
      </w:r>
    </w:p>
    <w:p>
      <w:pPr>
        <w:keepNext w:val="0"/>
        <w:keepLines w:val="0"/>
        <w:pageBreakBefore w:val="0"/>
        <w:widowControl/>
        <w:suppressLineNumbers w:val="0"/>
        <w:kinsoku/>
        <w:overflowPunct/>
        <w:topLinePunct w:val="0"/>
        <w:autoSpaceDE/>
        <w:autoSpaceDN/>
        <w:bidi w:val="0"/>
        <w:spacing w:line="580" w:lineRule="exact"/>
        <w:ind w:left="0" w:firstLine="584" w:firstLineChars="200"/>
        <w:jc w:val="left"/>
        <w:textAlignment w:val="auto"/>
        <w:rPr>
          <w:rFonts w:hint="eastAsia" w:ascii="宋体" w:hAnsi="宋体" w:eastAsia="宋体" w:cs="宋体"/>
          <w:color w:val="auto"/>
          <w:spacing w:val="6"/>
          <w:kern w:val="0"/>
          <w:sz w:val="28"/>
          <w:szCs w:val="28"/>
          <w:lang w:val="en-US" w:eastAsia="zh-CN"/>
        </w:rPr>
      </w:pPr>
      <w:r>
        <w:rPr>
          <w:rFonts w:hint="eastAsia" w:ascii="宋体" w:hAnsi="宋体" w:eastAsia="宋体" w:cs="宋体"/>
          <w:color w:val="auto"/>
          <w:spacing w:val="6"/>
          <w:kern w:val="0"/>
          <w:sz w:val="28"/>
          <w:szCs w:val="28"/>
          <w:lang w:val="en-US" w:eastAsia="zh-CN"/>
        </w:rPr>
        <w:t>2021 年1月，教育部印发了《本科毕业论文（设计）抽检办法（试行）》（见附件），启动了本科毕业论文（设计）抽检工作。2022年，教育部将本科毕业论文（设计）抽检列入年度工作要点。为贯彻落实教育部《本科毕业论文（设计）抽检办法（试行）》文件精神，严格学业标准，把好毕业出口质量</w:t>
      </w:r>
      <w:bookmarkStart w:id="5" w:name="_GoBack"/>
      <w:bookmarkEnd w:id="5"/>
      <w:r>
        <w:rPr>
          <w:rFonts w:hint="eastAsia" w:ascii="宋体" w:hAnsi="宋体" w:eastAsia="宋体" w:cs="宋体"/>
          <w:color w:val="auto"/>
          <w:spacing w:val="6"/>
          <w:kern w:val="0"/>
          <w:sz w:val="28"/>
          <w:szCs w:val="28"/>
          <w:lang w:val="en-US" w:eastAsia="zh-CN"/>
        </w:rPr>
        <w:t>，学校决定开展20</w:t>
      </w:r>
      <w:bookmarkStart w:id="0" w:name="OLE_LINK8"/>
      <w:bookmarkStart w:id="1" w:name="OLE_LINK7"/>
      <w:r>
        <w:rPr>
          <w:rFonts w:hint="eastAsia" w:ascii="宋体" w:hAnsi="宋体" w:eastAsia="宋体" w:cs="宋体"/>
          <w:color w:val="auto"/>
          <w:spacing w:val="6"/>
          <w:kern w:val="0"/>
          <w:sz w:val="28"/>
          <w:szCs w:val="28"/>
          <w:lang w:val="en-US" w:eastAsia="zh-CN"/>
        </w:rPr>
        <w:t>22届本科毕业论文</w:t>
      </w:r>
      <w:bookmarkEnd w:id="0"/>
      <w:bookmarkEnd w:id="1"/>
      <w:r>
        <w:rPr>
          <w:rFonts w:hint="eastAsia" w:ascii="宋体" w:hAnsi="宋体" w:eastAsia="宋体" w:cs="宋体"/>
          <w:color w:val="auto"/>
          <w:spacing w:val="6"/>
          <w:kern w:val="0"/>
          <w:sz w:val="28"/>
          <w:szCs w:val="28"/>
          <w:lang w:val="en-US" w:eastAsia="zh-CN"/>
        </w:rPr>
        <w:t>（设计）抽检和校级答辩工作，现将有关事宜通知如下：</w:t>
      </w:r>
    </w:p>
    <w:p>
      <w:pPr>
        <w:keepNext w:val="0"/>
        <w:keepLines w:val="0"/>
        <w:pageBreakBefore w:val="0"/>
        <w:widowControl/>
        <w:kinsoku/>
        <w:overflowPunct/>
        <w:topLinePunct w:val="0"/>
        <w:autoSpaceDE/>
        <w:autoSpaceDN/>
        <w:bidi w:val="0"/>
        <w:adjustRightInd w:val="0"/>
        <w:snapToGrid w:val="0"/>
        <w:spacing w:line="580" w:lineRule="exact"/>
        <w:ind w:left="0" w:firstLine="586" w:firstLineChars="200"/>
        <w:textAlignment w:val="auto"/>
        <w:rPr>
          <w:rFonts w:hint="eastAsia" w:ascii="宋体" w:hAnsi="宋体" w:eastAsia="宋体" w:cs="宋体"/>
          <w:b/>
          <w:bCs/>
          <w:color w:val="auto"/>
          <w:spacing w:val="6"/>
          <w:kern w:val="0"/>
          <w:sz w:val="28"/>
          <w:szCs w:val="28"/>
        </w:rPr>
      </w:pPr>
      <w:r>
        <w:rPr>
          <w:rFonts w:hint="eastAsia" w:ascii="宋体" w:hAnsi="宋体" w:eastAsia="宋体" w:cs="宋体"/>
          <w:b/>
          <w:bCs/>
          <w:color w:val="auto"/>
          <w:spacing w:val="6"/>
          <w:kern w:val="0"/>
          <w:sz w:val="28"/>
          <w:szCs w:val="28"/>
        </w:rPr>
        <w:t>一、</w:t>
      </w:r>
      <w:r>
        <w:rPr>
          <w:rFonts w:hint="eastAsia" w:ascii="宋体" w:hAnsi="宋体" w:eastAsia="宋体" w:cs="宋体"/>
          <w:b/>
          <w:bCs/>
          <w:color w:val="auto"/>
          <w:spacing w:val="6"/>
          <w:kern w:val="0"/>
          <w:sz w:val="28"/>
          <w:szCs w:val="28"/>
          <w:lang w:val="en-US" w:eastAsia="zh-CN"/>
        </w:rPr>
        <w:t>抽检和</w:t>
      </w:r>
      <w:r>
        <w:rPr>
          <w:rFonts w:hint="eastAsia" w:ascii="宋体" w:hAnsi="宋体" w:eastAsia="宋体" w:cs="宋体"/>
          <w:b/>
          <w:bCs/>
          <w:color w:val="auto"/>
          <w:spacing w:val="6"/>
          <w:kern w:val="0"/>
          <w:sz w:val="28"/>
          <w:szCs w:val="28"/>
        </w:rPr>
        <w:t>校级答辩对象</w:t>
      </w:r>
    </w:p>
    <w:p>
      <w:pPr>
        <w:keepNext w:val="0"/>
        <w:keepLines w:val="0"/>
        <w:pageBreakBefore w:val="0"/>
        <w:widowControl/>
        <w:kinsoku/>
        <w:overflowPunct/>
        <w:topLinePunct w:val="0"/>
        <w:autoSpaceDE/>
        <w:autoSpaceDN/>
        <w:bidi w:val="0"/>
        <w:adjustRightInd w:val="0"/>
        <w:snapToGrid w:val="0"/>
        <w:spacing w:line="580" w:lineRule="exact"/>
        <w:ind w:left="0" w:firstLine="584" w:firstLineChars="200"/>
        <w:textAlignment w:val="auto"/>
        <w:rPr>
          <w:rFonts w:hint="eastAsia" w:ascii="宋体" w:hAnsi="宋体" w:eastAsia="宋体" w:cs="宋体"/>
          <w:color w:val="auto"/>
          <w:spacing w:val="6"/>
          <w:kern w:val="0"/>
          <w:sz w:val="28"/>
          <w:szCs w:val="28"/>
        </w:rPr>
      </w:pPr>
      <w:r>
        <w:rPr>
          <w:rFonts w:hint="eastAsia" w:ascii="宋体" w:hAnsi="宋体" w:eastAsia="宋体" w:cs="宋体"/>
          <w:color w:val="auto"/>
          <w:spacing w:val="6"/>
          <w:kern w:val="0"/>
          <w:sz w:val="28"/>
          <w:szCs w:val="28"/>
          <w:lang w:val="en-US" w:eastAsia="zh-CN"/>
        </w:rPr>
        <w:t>抽检和</w:t>
      </w:r>
      <w:r>
        <w:rPr>
          <w:rFonts w:hint="eastAsia" w:ascii="宋体" w:hAnsi="宋体" w:eastAsia="宋体" w:cs="宋体"/>
          <w:color w:val="auto"/>
          <w:spacing w:val="6"/>
          <w:kern w:val="0"/>
          <w:sz w:val="28"/>
          <w:szCs w:val="28"/>
        </w:rPr>
        <w:t>校级答辩对象</w:t>
      </w:r>
      <w:r>
        <w:rPr>
          <w:rFonts w:hint="eastAsia" w:ascii="宋体" w:hAnsi="宋体" w:eastAsia="宋体" w:cs="宋体"/>
          <w:color w:val="auto"/>
          <w:spacing w:val="6"/>
          <w:kern w:val="0"/>
          <w:sz w:val="28"/>
          <w:szCs w:val="28"/>
          <w:lang w:val="en-US" w:eastAsia="zh-CN"/>
        </w:rPr>
        <w:t>为</w:t>
      </w:r>
      <w:r>
        <w:rPr>
          <w:rFonts w:hint="eastAsia" w:ascii="宋体" w:hAnsi="宋体" w:eastAsia="宋体" w:cs="宋体"/>
          <w:color w:val="auto"/>
          <w:spacing w:val="6"/>
          <w:kern w:val="0"/>
          <w:sz w:val="28"/>
          <w:szCs w:val="28"/>
        </w:rPr>
        <w:t>20</w:t>
      </w:r>
      <w:r>
        <w:rPr>
          <w:rFonts w:hint="eastAsia" w:ascii="宋体" w:hAnsi="宋体" w:eastAsia="宋体" w:cs="宋体"/>
          <w:color w:val="auto"/>
          <w:spacing w:val="6"/>
          <w:kern w:val="0"/>
          <w:sz w:val="28"/>
          <w:szCs w:val="28"/>
          <w:lang w:val="en-US" w:eastAsia="zh-CN"/>
        </w:rPr>
        <w:t>22</w:t>
      </w:r>
      <w:r>
        <w:rPr>
          <w:rFonts w:hint="eastAsia" w:ascii="宋体" w:hAnsi="宋体" w:eastAsia="宋体" w:cs="宋体"/>
          <w:color w:val="auto"/>
          <w:spacing w:val="6"/>
          <w:kern w:val="0"/>
          <w:sz w:val="28"/>
          <w:szCs w:val="28"/>
        </w:rPr>
        <w:t>届所有本科专业毕业生。</w:t>
      </w:r>
    </w:p>
    <w:p>
      <w:pPr>
        <w:keepNext w:val="0"/>
        <w:keepLines w:val="0"/>
        <w:pageBreakBefore w:val="0"/>
        <w:widowControl/>
        <w:suppressLineNumbers w:val="0"/>
        <w:kinsoku/>
        <w:overflowPunct/>
        <w:topLinePunct w:val="0"/>
        <w:autoSpaceDE/>
        <w:autoSpaceDN/>
        <w:bidi w:val="0"/>
        <w:spacing w:line="580" w:lineRule="exact"/>
        <w:ind w:left="0" w:firstLine="584" w:firstLineChars="200"/>
        <w:jc w:val="left"/>
        <w:textAlignment w:val="auto"/>
        <w:rPr>
          <w:rFonts w:hint="eastAsia" w:ascii="宋体" w:hAnsi="宋体" w:eastAsia="宋体" w:cs="宋体"/>
          <w:color w:val="auto"/>
          <w:spacing w:val="6"/>
          <w:kern w:val="0"/>
          <w:sz w:val="28"/>
          <w:szCs w:val="28"/>
          <w:lang w:val="en-US" w:eastAsia="zh-CN"/>
        </w:rPr>
      </w:pPr>
      <w:r>
        <w:rPr>
          <w:rFonts w:hint="eastAsia" w:ascii="宋体" w:hAnsi="宋体" w:eastAsia="宋体" w:cs="宋体"/>
          <w:color w:val="auto"/>
          <w:spacing w:val="6"/>
          <w:kern w:val="0"/>
          <w:sz w:val="28"/>
          <w:szCs w:val="28"/>
        </w:rPr>
        <w:t>教学质量管理处将从</w:t>
      </w:r>
      <w:r>
        <w:rPr>
          <w:rFonts w:hint="eastAsia" w:ascii="宋体" w:hAnsi="宋体" w:eastAsia="宋体" w:cs="宋体"/>
          <w:color w:val="auto"/>
          <w:spacing w:val="6"/>
          <w:kern w:val="0"/>
          <w:sz w:val="28"/>
          <w:szCs w:val="28"/>
          <w:lang w:val="en-US" w:eastAsia="zh-CN"/>
        </w:rPr>
        <w:t>各教学学院</w:t>
      </w:r>
      <w:r>
        <w:rPr>
          <w:rFonts w:hint="eastAsia" w:ascii="宋体" w:hAnsi="宋体" w:eastAsia="宋体" w:cs="宋体"/>
          <w:color w:val="auto"/>
          <w:spacing w:val="6"/>
          <w:kern w:val="0"/>
          <w:sz w:val="28"/>
          <w:szCs w:val="28"/>
        </w:rPr>
        <w:t>随机抽取</w:t>
      </w:r>
      <w:r>
        <w:rPr>
          <w:rFonts w:hint="eastAsia" w:ascii="宋体" w:hAnsi="宋体" w:eastAsia="宋体" w:cs="宋体"/>
          <w:color w:val="auto"/>
          <w:spacing w:val="6"/>
          <w:kern w:val="0"/>
          <w:sz w:val="28"/>
          <w:szCs w:val="28"/>
          <w:lang w:val="en-US" w:eastAsia="zh-CN"/>
        </w:rPr>
        <w:t>1个</w:t>
      </w:r>
      <w:r>
        <w:rPr>
          <w:rFonts w:hint="eastAsia" w:ascii="宋体" w:hAnsi="宋体" w:eastAsia="宋体" w:cs="宋体"/>
          <w:color w:val="auto"/>
          <w:spacing w:val="6"/>
          <w:kern w:val="0"/>
          <w:sz w:val="28"/>
          <w:szCs w:val="28"/>
        </w:rPr>
        <w:t>专业</w:t>
      </w:r>
      <w:r>
        <w:rPr>
          <w:rFonts w:hint="eastAsia" w:ascii="宋体" w:hAnsi="宋体" w:eastAsia="宋体" w:cs="宋体"/>
          <w:color w:val="auto"/>
          <w:spacing w:val="6"/>
          <w:kern w:val="0"/>
          <w:sz w:val="28"/>
          <w:szCs w:val="28"/>
          <w:lang w:val="en-US" w:eastAsia="zh-CN"/>
        </w:rPr>
        <w:t>10%左右的毕业论文（设计）送同行专家进行盲评。在抽检后剩余的其他专业中再随机抽取1个专业10%左右的</w:t>
      </w:r>
      <w:r>
        <w:rPr>
          <w:rFonts w:hint="eastAsia" w:ascii="宋体" w:hAnsi="宋体" w:eastAsia="宋体" w:cs="宋体"/>
          <w:color w:val="auto"/>
          <w:spacing w:val="6"/>
          <w:kern w:val="0"/>
          <w:sz w:val="28"/>
          <w:szCs w:val="28"/>
        </w:rPr>
        <w:t>毕业生</w:t>
      </w:r>
      <w:r>
        <w:rPr>
          <w:rFonts w:hint="eastAsia" w:ascii="宋体" w:hAnsi="宋体" w:eastAsia="宋体" w:cs="宋体"/>
          <w:color w:val="auto"/>
          <w:spacing w:val="6"/>
          <w:kern w:val="0"/>
          <w:sz w:val="28"/>
          <w:szCs w:val="28"/>
          <w:lang w:val="en-US" w:eastAsia="zh-CN"/>
        </w:rPr>
        <w:t>参加</w:t>
      </w:r>
      <w:r>
        <w:rPr>
          <w:rFonts w:hint="eastAsia" w:ascii="宋体" w:hAnsi="宋体" w:eastAsia="宋体" w:cs="宋体"/>
          <w:color w:val="auto"/>
          <w:spacing w:val="6"/>
          <w:kern w:val="0"/>
          <w:sz w:val="28"/>
          <w:szCs w:val="28"/>
        </w:rPr>
        <w:t>校级答辩</w:t>
      </w:r>
      <w:r>
        <w:rPr>
          <w:rFonts w:hint="eastAsia" w:ascii="宋体" w:hAnsi="宋体" w:eastAsia="宋体" w:cs="宋体"/>
          <w:color w:val="auto"/>
          <w:spacing w:val="6"/>
          <w:kern w:val="0"/>
          <w:sz w:val="28"/>
          <w:szCs w:val="28"/>
          <w:lang w:eastAsia="zh-CN"/>
        </w:rPr>
        <w:t>。</w:t>
      </w:r>
      <w:r>
        <w:rPr>
          <w:rFonts w:hint="eastAsia" w:ascii="宋体" w:hAnsi="宋体" w:eastAsia="宋体" w:cs="宋体"/>
          <w:color w:val="auto"/>
          <w:spacing w:val="6"/>
          <w:kern w:val="0"/>
          <w:sz w:val="28"/>
          <w:szCs w:val="28"/>
          <w:lang w:val="en-US" w:eastAsia="zh-CN"/>
        </w:rPr>
        <w:t>马克思主义学院、体育学院和旅游与文化产业学院因本届毕业生只有一个专业，需在同一个专业中另外抽取10%左右的</w:t>
      </w:r>
      <w:r>
        <w:rPr>
          <w:rFonts w:hint="eastAsia" w:ascii="宋体" w:hAnsi="宋体" w:eastAsia="宋体" w:cs="宋体"/>
          <w:color w:val="auto"/>
          <w:spacing w:val="6"/>
          <w:kern w:val="0"/>
          <w:sz w:val="28"/>
          <w:szCs w:val="28"/>
        </w:rPr>
        <w:t>毕业生</w:t>
      </w:r>
      <w:r>
        <w:rPr>
          <w:rFonts w:hint="eastAsia" w:ascii="宋体" w:hAnsi="宋体" w:eastAsia="宋体" w:cs="宋体"/>
          <w:color w:val="auto"/>
          <w:spacing w:val="6"/>
          <w:kern w:val="0"/>
          <w:sz w:val="28"/>
          <w:szCs w:val="28"/>
          <w:lang w:val="en-US" w:eastAsia="zh-CN"/>
        </w:rPr>
        <w:t>参加</w:t>
      </w:r>
      <w:r>
        <w:rPr>
          <w:rFonts w:hint="eastAsia" w:ascii="宋体" w:hAnsi="宋体" w:eastAsia="宋体" w:cs="宋体"/>
          <w:color w:val="auto"/>
          <w:spacing w:val="6"/>
          <w:kern w:val="0"/>
          <w:sz w:val="28"/>
          <w:szCs w:val="28"/>
        </w:rPr>
        <w:t>校级答辩。</w:t>
      </w:r>
      <w:r>
        <w:rPr>
          <w:rFonts w:hint="eastAsia" w:ascii="宋体" w:hAnsi="宋体" w:eastAsia="宋体" w:cs="宋体"/>
          <w:color w:val="auto"/>
          <w:spacing w:val="6"/>
          <w:kern w:val="0"/>
          <w:sz w:val="28"/>
          <w:szCs w:val="28"/>
          <w:lang w:val="en-US" w:eastAsia="zh-CN"/>
        </w:rPr>
        <w:t>抽检盲评和参加校级答辩的论文尽量选取不同的论文指导老师。</w:t>
      </w:r>
    </w:p>
    <w:p>
      <w:pPr>
        <w:keepNext w:val="0"/>
        <w:keepLines w:val="0"/>
        <w:pageBreakBefore w:val="0"/>
        <w:widowControl/>
        <w:kinsoku/>
        <w:overflowPunct/>
        <w:topLinePunct w:val="0"/>
        <w:autoSpaceDE/>
        <w:autoSpaceDN/>
        <w:bidi w:val="0"/>
        <w:adjustRightInd w:val="0"/>
        <w:snapToGrid w:val="0"/>
        <w:spacing w:line="580" w:lineRule="exact"/>
        <w:ind w:left="0" w:firstLine="586" w:firstLineChars="200"/>
        <w:textAlignment w:val="auto"/>
        <w:rPr>
          <w:rFonts w:hint="eastAsia" w:ascii="宋体" w:hAnsi="宋体" w:eastAsia="宋体" w:cs="宋体"/>
          <w:b/>
          <w:bCs/>
          <w:color w:val="auto"/>
          <w:spacing w:val="6"/>
          <w:kern w:val="0"/>
          <w:sz w:val="28"/>
          <w:szCs w:val="28"/>
        </w:rPr>
      </w:pPr>
      <w:r>
        <w:rPr>
          <w:rFonts w:hint="eastAsia" w:ascii="宋体" w:hAnsi="宋体" w:eastAsia="宋体" w:cs="宋体"/>
          <w:b/>
          <w:bCs/>
          <w:color w:val="auto"/>
          <w:spacing w:val="6"/>
          <w:kern w:val="0"/>
          <w:sz w:val="28"/>
          <w:szCs w:val="28"/>
        </w:rPr>
        <w:t>二、</w:t>
      </w:r>
      <w:r>
        <w:rPr>
          <w:rFonts w:hint="eastAsia" w:ascii="宋体" w:hAnsi="宋体" w:eastAsia="宋体" w:cs="宋体"/>
          <w:b/>
          <w:bCs/>
          <w:color w:val="auto"/>
          <w:spacing w:val="6"/>
          <w:kern w:val="0"/>
          <w:sz w:val="28"/>
          <w:szCs w:val="28"/>
          <w:lang w:val="en-US" w:eastAsia="zh-CN"/>
        </w:rPr>
        <w:t>抽检和校级</w:t>
      </w:r>
      <w:r>
        <w:rPr>
          <w:rFonts w:hint="eastAsia" w:ascii="宋体" w:hAnsi="宋体" w:eastAsia="宋体" w:cs="宋体"/>
          <w:b/>
          <w:bCs/>
          <w:color w:val="auto"/>
          <w:spacing w:val="6"/>
          <w:kern w:val="0"/>
          <w:sz w:val="28"/>
          <w:szCs w:val="28"/>
        </w:rPr>
        <w:t>答辩时间安排</w:t>
      </w:r>
    </w:p>
    <w:p>
      <w:pPr>
        <w:keepNext w:val="0"/>
        <w:keepLines w:val="0"/>
        <w:pageBreakBefore w:val="0"/>
        <w:widowControl/>
        <w:kinsoku/>
        <w:overflowPunct/>
        <w:topLinePunct w:val="0"/>
        <w:autoSpaceDE/>
        <w:autoSpaceDN/>
        <w:bidi w:val="0"/>
        <w:adjustRightInd w:val="0"/>
        <w:snapToGrid w:val="0"/>
        <w:spacing w:line="580" w:lineRule="exact"/>
        <w:ind w:left="0" w:firstLine="584" w:firstLineChars="200"/>
        <w:textAlignment w:val="auto"/>
        <w:rPr>
          <w:rFonts w:hint="eastAsia" w:ascii="宋体" w:hAnsi="宋体" w:eastAsia="宋体" w:cs="宋体"/>
          <w:color w:val="auto"/>
          <w:spacing w:val="6"/>
          <w:kern w:val="0"/>
          <w:sz w:val="28"/>
          <w:szCs w:val="28"/>
        </w:rPr>
      </w:pPr>
      <w:r>
        <w:rPr>
          <w:rFonts w:hint="eastAsia" w:ascii="宋体" w:hAnsi="宋体" w:eastAsia="宋体" w:cs="宋体"/>
          <w:color w:val="auto"/>
          <w:spacing w:val="6"/>
          <w:kern w:val="0"/>
          <w:sz w:val="28"/>
          <w:szCs w:val="28"/>
          <w:lang w:val="en-US" w:eastAsia="zh-CN"/>
        </w:rPr>
        <w:t>抽检的毕业论文（设计）上交时间为2022年5月6日；校级</w:t>
      </w:r>
      <w:r>
        <w:rPr>
          <w:rFonts w:hint="eastAsia" w:ascii="宋体" w:hAnsi="宋体" w:eastAsia="宋体" w:cs="宋体"/>
          <w:color w:val="auto"/>
          <w:spacing w:val="6"/>
          <w:kern w:val="0"/>
          <w:sz w:val="28"/>
          <w:szCs w:val="28"/>
        </w:rPr>
        <w:t>答辩</w:t>
      </w:r>
      <w:r>
        <w:rPr>
          <w:rFonts w:hint="eastAsia" w:ascii="宋体" w:hAnsi="宋体" w:eastAsia="宋体" w:cs="宋体"/>
          <w:color w:val="auto"/>
          <w:spacing w:val="6"/>
          <w:kern w:val="0"/>
          <w:sz w:val="28"/>
          <w:szCs w:val="28"/>
          <w:lang w:val="en-US" w:eastAsia="zh-CN"/>
        </w:rPr>
        <w:t>的毕业论文（设计）上交时间为2022年5月11日，校级</w:t>
      </w:r>
      <w:r>
        <w:rPr>
          <w:rFonts w:hint="eastAsia" w:ascii="宋体" w:hAnsi="宋体" w:eastAsia="宋体" w:cs="宋体"/>
          <w:color w:val="auto"/>
          <w:spacing w:val="6"/>
          <w:kern w:val="0"/>
          <w:sz w:val="28"/>
          <w:szCs w:val="28"/>
        </w:rPr>
        <w:t>答辩时间为20</w:t>
      </w:r>
      <w:r>
        <w:rPr>
          <w:rFonts w:hint="eastAsia" w:ascii="宋体" w:hAnsi="宋体" w:eastAsia="宋体" w:cs="宋体"/>
          <w:color w:val="auto"/>
          <w:spacing w:val="6"/>
          <w:kern w:val="0"/>
          <w:sz w:val="28"/>
          <w:szCs w:val="28"/>
          <w:lang w:val="en-US" w:eastAsia="zh-CN"/>
        </w:rPr>
        <w:t>22</w:t>
      </w:r>
      <w:r>
        <w:rPr>
          <w:rFonts w:hint="eastAsia" w:ascii="宋体" w:hAnsi="宋体" w:eastAsia="宋体" w:cs="宋体"/>
          <w:color w:val="auto"/>
          <w:spacing w:val="6"/>
          <w:kern w:val="0"/>
          <w:sz w:val="28"/>
          <w:szCs w:val="28"/>
        </w:rPr>
        <w:t>年5月</w:t>
      </w:r>
      <w:r>
        <w:rPr>
          <w:rFonts w:hint="eastAsia" w:ascii="宋体" w:hAnsi="宋体" w:eastAsia="宋体" w:cs="宋体"/>
          <w:color w:val="auto"/>
          <w:spacing w:val="6"/>
          <w:kern w:val="0"/>
          <w:sz w:val="28"/>
          <w:szCs w:val="28"/>
          <w:lang w:val="en-US" w:eastAsia="zh-CN"/>
        </w:rPr>
        <w:t>14日</w:t>
      </w:r>
      <w:r>
        <w:rPr>
          <w:rFonts w:hint="eastAsia" w:ascii="宋体" w:hAnsi="宋体" w:eastAsia="宋体" w:cs="宋体"/>
          <w:color w:val="auto"/>
          <w:spacing w:val="6"/>
          <w:kern w:val="0"/>
          <w:sz w:val="28"/>
          <w:szCs w:val="28"/>
        </w:rPr>
        <w:t>-</w:t>
      </w:r>
      <w:r>
        <w:rPr>
          <w:rFonts w:hint="eastAsia" w:ascii="宋体" w:hAnsi="宋体" w:eastAsia="宋体" w:cs="宋体"/>
          <w:color w:val="auto"/>
          <w:spacing w:val="6"/>
          <w:kern w:val="0"/>
          <w:sz w:val="28"/>
          <w:szCs w:val="28"/>
          <w:lang w:val="en-US" w:eastAsia="zh-CN"/>
        </w:rPr>
        <w:t>15</w:t>
      </w:r>
      <w:r>
        <w:rPr>
          <w:rFonts w:hint="eastAsia" w:ascii="宋体" w:hAnsi="宋体" w:eastAsia="宋体" w:cs="宋体"/>
          <w:color w:val="auto"/>
          <w:spacing w:val="6"/>
          <w:kern w:val="0"/>
          <w:sz w:val="28"/>
          <w:szCs w:val="28"/>
        </w:rPr>
        <w:t>日，</w:t>
      </w:r>
      <w:r>
        <w:rPr>
          <w:rFonts w:hint="eastAsia" w:ascii="宋体" w:hAnsi="宋体" w:eastAsia="宋体" w:cs="宋体"/>
          <w:color w:val="auto"/>
          <w:spacing w:val="6"/>
          <w:kern w:val="0"/>
          <w:sz w:val="28"/>
          <w:szCs w:val="28"/>
          <w:lang w:val="en-US" w:eastAsia="zh-CN"/>
        </w:rPr>
        <w:t>视疫情情况可采取线上、线下相结合形式进行，详细安排答辩前再</w:t>
      </w:r>
      <w:r>
        <w:rPr>
          <w:rFonts w:hint="eastAsia" w:ascii="宋体" w:hAnsi="宋体" w:eastAsia="宋体" w:cs="宋体"/>
          <w:color w:val="auto"/>
          <w:spacing w:val="6"/>
          <w:kern w:val="0"/>
          <w:sz w:val="28"/>
          <w:szCs w:val="28"/>
        </w:rPr>
        <w:t>另行通知。</w:t>
      </w:r>
    </w:p>
    <w:p>
      <w:pPr>
        <w:keepNext w:val="0"/>
        <w:keepLines w:val="0"/>
        <w:pageBreakBefore w:val="0"/>
        <w:widowControl/>
        <w:kinsoku/>
        <w:overflowPunct/>
        <w:topLinePunct w:val="0"/>
        <w:autoSpaceDE/>
        <w:autoSpaceDN/>
        <w:bidi w:val="0"/>
        <w:adjustRightInd w:val="0"/>
        <w:snapToGrid w:val="0"/>
        <w:spacing w:line="580" w:lineRule="exact"/>
        <w:ind w:left="0" w:firstLine="586" w:firstLineChars="200"/>
        <w:textAlignment w:val="auto"/>
        <w:rPr>
          <w:rFonts w:hint="eastAsia" w:ascii="宋体" w:hAnsi="宋体" w:eastAsia="宋体" w:cs="宋体"/>
          <w:b/>
          <w:bCs/>
          <w:color w:val="auto"/>
          <w:spacing w:val="6"/>
          <w:kern w:val="0"/>
          <w:sz w:val="28"/>
          <w:szCs w:val="28"/>
        </w:rPr>
      </w:pPr>
      <w:r>
        <w:rPr>
          <w:rFonts w:hint="eastAsia" w:ascii="宋体" w:hAnsi="宋体" w:eastAsia="宋体" w:cs="宋体"/>
          <w:b/>
          <w:bCs/>
          <w:color w:val="auto"/>
          <w:spacing w:val="6"/>
          <w:kern w:val="0"/>
          <w:sz w:val="28"/>
          <w:szCs w:val="28"/>
        </w:rPr>
        <w:t>三、</w:t>
      </w:r>
      <w:r>
        <w:rPr>
          <w:rFonts w:hint="eastAsia" w:ascii="宋体" w:hAnsi="宋体" w:eastAsia="宋体" w:cs="宋体"/>
          <w:b/>
          <w:bCs/>
          <w:color w:val="auto"/>
          <w:spacing w:val="6"/>
          <w:kern w:val="0"/>
          <w:sz w:val="28"/>
          <w:szCs w:val="28"/>
          <w:lang w:val="en-US" w:eastAsia="zh-CN"/>
        </w:rPr>
        <w:t>材料上交时间及</w:t>
      </w:r>
      <w:r>
        <w:rPr>
          <w:rFonts w:hint="eastAsia" w:ascii="宋体" w:hAnsi="宋体" w:eastAsia="宋体" w:cs="宋体"/>
          <w:b/>
          <w:bCs/>
          <w:color w:val="auto"/>
          <w:spacing w:val="6"/>
          <w:kern w:val="0"/>
          <w:sz w:val="28"/>
          <w:szCs w:val="28"/>
        </w:rPr>
        <w:t>具体要求</w:t>
      </w:r>
    </w:p>
    <w:p>
      <w:pPr>
        <w:keepNext w:val="0"/>
        <w:keepLines w:val="0"/>
        <w:pageBreakBefore w:val="0"/>
        <w:widowControl/>
        <w:kinsoku/>
        <w:overflowPunct/>
        <w:topLinePunct w:val="0"/>
        <w:autoSpaceDE/>
        <w:autoSpaceDN/>
        <w:bidi w:val="0"/>
        <w:adjustRightInd w:val="0"/>
        <w:snapToGrid w:val="0"/>
        <w:spacing w:line="580" w:lineRule="exact"/>
        <w:ind w:left="0" w:firstLine="584" w:firstLineChars="200"/>
        <w:textAlignment w:val="auto"/>
        <w:rPr>
          <w:rFonts w:hint="eastAsia" w:ascii="宋体" w:hAnsi="宋体" w:eastAsia="宋体" w:cs="宋体"/>
          <w:color w:val="auto"/>
          <w:spacing w:val="6"/>
          <w:kern w:val="0"/>
          <w:sz w:val="28"/>
          <w:szCs w:val="28"/>
        </w:rPr>
      </w:pPr>
      <w:r>
        <w:rPr>
          <w:rFonts w:hint="eastAsia" w:ascii="宋体" w:hAnsi="宋体" w:eastAsia="宋体" w:cs="宋体"/>
          <w:color w:val="auto"/>
          <w:spacing w:val="6"/>
          <w:kern w:val="0"/>
          <w:sz w:val="28"/>
          <w:szCs w:val="28"/>
        </w:rPr>
        <w:t>1</w:t>
      </w:r>
      <w:r>
        <w:rPr>
          <w:rFonts w:hint="eastAsia" w:ascii="宋体" w:hAnsi="宋体" w:eastAsia="宋体" w:cs="宋体"/>
          <w:color w:val="auto"/>
          <w:spacing w:val="6"/>
          <w:kern w:val="0"/>
          <w:sz w:val="28"/>
          <w:szCs w:val="28"/>
          <w:lang w:val="en-US" w:eastAsia="zh-CN"/>
        </w:rPr>
        <w:t>.</w:t>
      </w:r>
      <w:r>
        <w:rPr>
          <w:rFonts w:hint="eastAsia" w:ascii="宋体" w:hAnsi="宋体" w:eastAsia="宋体" w:cs="宋体"/>
          <w:color w:val="auto"/>
          <w:spacing w:val="6"/>
          <w:kern w:val="0"/>
          <w:sz w:val="28"/>
          <w:szCs w:val="28"/>
        </w:rPr>
        <w:t>各教学学院要认真组织好本单位学生的毕业论文（设计）撰写、指导及管理工作，严把毕业论文（设计）质量关。</w:t>
      </w:r>
    </w:p>
    <w:p>
      <w:pPr>
        <w:keepNext w:val="0"/>
        <w:keepLines w:val="0"/>
        <w:pageBreakBefore w:val="0"/>
        <w:widowControl/>
        <w:kinsoku/>
        <w:overflowPunct/>
        <w:topLinePunct w:val="0"/>
        <w:autoSpaceDE/>
        <w:autoSpaceDN/>
        <w:bidi w:val="0"/>
        <w:adjustRightInd w:val="0"/>
        <w:snapToGrid w:val="0"/>
        <w:spacing w:line="580" w:lineRule="exact"/>
        <w:ind w:left="0" w:firstLine="584" w:firstLineChars="200"/>
        <w:textAlignment w:val="auto"/>
        <w:rPr>
          <w:rFonts w:hint="eastAsia" w:ascii="宋体" w:hAnsi="宋体" w:eastAsia="宋体" w:cs="宋体"/>
          <w:color w:val="auto"/>
          <w:spacing w:val="6"/>
          <w:kern w:val="0"/>
          <w:sz w:val="28"/>
          <w:szCs w:val="28"/>
        </w:rPr>
      </w:pPr>
      <w:r>
        <w:rPr>
          <w:rFonts w:hint="eastAsia" w:ascii="宋体" w:hAnsi="宋体" w:eastAsia="宋体" w:cs="宋体"/>
          <w:color w:val="auto"/>
          <w:spacing w:val="6"/>
          <w:kern w:val="0"/>
          <w:sz w:val="28"/>
          <w:szCs w:val="28"/>
        </w:rPr>
        <w:t>2</w:t>
      </w:r>
      <w:r>
        <w:rPr>
          <w:rFonts w:hint="eastAsia" w:ascii="宋体" w:hAnsi="宋体" w:eastAsia="宋体" w:cs="宋体"/>
          <w:color w:val="auto"/>
          <w:spacing w:val="6"/>
          <w:kern w:val="0"/>
          <w:sz w:val="28"/>
          <w:szCs w:val="28"/>
          <w:lang w:val="en-US" w:eastAsia="zh-CN"/>
        </w:rPr>
        <w:t>.</w:t>
      </w:r>
      <w:r>
        <w:rPr>
          <w:rFonts w:hint="eastAsia" w:ascii="宋体" w:hAnsi="宋体" w:eastAsia="宋体" w:cs="宋体"/>
          <w:color w:val="auto"/>
          <w:spacing w:val="6"/>
          <w:kern w:val="0"/>
          <w:sz w:val="28"/>
          <w:szCs w:val="28"/>
        </w:rPr>
        <w:t>各教学学院教务办在</w:t>
      </w:r>
      <w:r>
        <w:rPr>
          <w:rFonts w:hint="eastAsia" w:ascii="宋体" w:hAnsi="宋体" w:eastAsia="宋体" w:cs="宋体"/>
          <w:color w:val="auto"/>
          <w:spacing w:val="6"/>
          <w:kern w:val="0"/>
          <w:sz w:val="28"/>
          <w:szCs w:val="28"/>
          <w:lang w:val="en-US" w:eastAsia="zh-CN"/>
        </w:rPr>
        <w:t>4</w:t>
      </w:r>
      <w:r>
        <w:rPr>
          <w:rFonts w:hint="eastAsia" w:ascii="宋体" w:hAnsi="宋体" w:eastAsia="宋体" w:cs="宋体"/>
          <w:color w:val="auto"/>
          <w:spacing w:val="6"/>
          <w:kern w:val="0"/>
          <w:sz w:val="28"/>
          <w:szCs w:val="28"/>
        </w:rPr>
        <w:t>月</w:t>
      </w:r>
      <w:r>
        <w:rPr>
          <w:rFonts w:hint="eastAsia" w:ascii="宋体" w:hAnsi="宋体" w:eastAsia="宋体" w:cs="宋体"/>
          <w:color w:val="auto"/>
          <w:spacing w:val="6"/>
          <w:kern w:val="0"/>
          <w:sz w:val="28"/>
          <w:szCs w:val="28"/>
          <w:lang w:val="en-US" w:eastAsia="zh-CN"/>
        </w:rPr>
        <w:t>25</w:t>
      </w:r>
      <w:r>
        <w:rPr>
          <w:rFonts w:hint="eastAsia" w:ascii="宋体" w:hAnsi="宋体" w:eastAsia="宋体" w:cs="宋体"/>
          <w:color w:val="auto"/>
          <w:spacing w:val="6"/>
          <w:kern w:val="0"/>
          <w:sz w:val="28"/>
          <w:szCs w:val="28"/>
        </w:rPr>
        <w:t>日前将本院学生毕业论文（设计）基本情况汇总表纸质稿及电子稿交</w:t>
      </w:r>
      <w:r>
        <w:rPr>
          <w:rFonts w:hint="eastAsia" w:ascii="宋体" w:hAnsi="宋体" w:eastAsia="宋体" w:cs="宋体"/>
          <w:color w:val="auto"/>
          <w:spacing w:val="6"/>
          <w:kern w:val="0"/>
          <w:sz w:val="28"/>
          <w:szCs w:val="28"/>
          <w:lang w:val="en-US" w:eastAsia="zh-CN"/>
        </w:rPr>
        <w:t>至</w:t>
      </w:r>
      <w:r>
        <w:rPr>
          <w:rFonts w:hint="eastAsia" w:ascii="宋体" w:hAnsi="宋体" w:eastAsia="宋体" w:cs="宋体"/>
          <w:color w:val="auto"/>
          <w:spacing w:val="6"/>
          <w:kern w:val="0"/>
          <w:sz w:val="28"/>
          <w:szCs w:val="28"/>
        </w:rPr>
        <w:t>行政楼403办公室郭丙琴处</w:t>
      </w:r>
      <w:r>
        <w:rPr>
          <w:rFonts w:hint="eastAsia" w:ascii="宋体" w:hAnsi="宋体" w:eastAsia="宋体" w:cs="宋体"/>
          <w:color w:val="auto"/>
          <w:spacing w:val="6"/>
          <w:kern w:val="0"/>
          <w:sz w:val="28"/>
          <w:szCs w:val="28"/>
          <w:lang w:eastAsia="zh-CN"/>
        </w:rPr>
        <w:t>。</w:t>
      </w:r>
      <w:r>
        <w:rPr>
          <w:rFonts w:hint="eastAsia" w:ascii="宋体" w:hAnsi="宋体" w:eastAsia="宋体" w:cs="宋体"/>
          <w:color w:val="auto"/>
          <w:spacing w:val="6"/>
          <w:kern w:val="0"/>
          <w:sz w:val="28"/>
          <w:szCs w:val="28"/>
        </w:rPr>
        <w:t>教学质量管理处</w:t>
      </w:r>
      <w:r>
        <w:rPr>
          <w:rFonts w:hint="eastAsia" w:ascii="宋体" w:hAnsi="宋体" w:eastAsia="宋体" w:cs="宋体"/>
          <w:color w:val="auto"/>
          <w:spacing w:val="6"/>
          <w:kern w:val="0"/>
          <w:sz w:val="28"/>
          <w:szCs w:val="28"/>
          <w:lang w:val="en-US" w:eastAsia="zh-CN"/>
        </w:rPr>
        <w:t>将于5月5日公布抽检学生名单，5月10日公布</w:t>
      </w:r>
      <w:r>
        <w:rPr>
          <w:rFonts w:hint="eastAsia" w:ascii="宋体" w:hAnsi="宋体" w:eastAsia="宋体" w:cs="宋体"/>
          <w:color w:val="auto"/>
          <w:spacing w:val="6"/>
          <w:kern w:val="0"/>
          <w:sz w:val="28"/>
          <w:szCs w:val="28"/>
        </w:rPr>
        <w:t>参加校级答辩学生名单</w:t>
      </w:r>
      <w:r>
        <w:rPr>
          <w:rFonts w:hint="eastAsia" w:ascii="宋体" w:hAnsi="宋体" w:eastAsia="宋体" w:cs="宋体"/>
          <w:color w:val="auto"/>
          <w:spacing w:val="6"/>
          <w:kern w:val="0"/>
          <w:sz w:val="28"/>
          <w:szCs w:val="28"/>
          <w:lang w:eastAsia="zh-CN"/>
        </w:rPr>
        <w:t>，</w:t>
      </w:r>
      <w:r>
        <w:rPr>
          <w:rFonts w:hint="eastAsia" w:ascii="宋体" w:hAnsi="宋体" w:eastAsia="宋体" w:cs="宋体"/>
          <w:color w:val="auto"/>
          <w:spacing w:val="6"/>
          <w:kern w:val="0"/>
          <w:sz w:val="28"/>
          <w:szCs w:val="28"/>
        </w:rPr>
        <w:t>教学学院</w:t>
      </w:r>
      <w:r>
        <w:rPr>
          <w:rFonts w:hint="eastAsia" w:ascii="宋体" w:hAnsi="宋体" w:eastAsia="宋体" w:cs="宋体"/>
          <w:color w:val="auto"/>
          <w:spacing w:val="6"/>
          <w:kern w:val="0"/>
          <w:sz w:val="28"/>
          <w:szCs w:val="28"/>
          <w:lang w:val="en-US" w:eastAsia="zh-CN"/>
        </w:rPr>
        <w:t>在公布名单的第二日将相应</w:t>
      </w:r>
      <w:r>
        <w:rPr>
          <w:rFonts w:hint="eastAsia" w:ascii="宋体" w:hAnsi="宋体" w:eastAsia="宋体" w:cs="宋体"/>
          <w:color w:val="auto"/>
          <w:spacing w:val="6"/>
          <w:kern w:val="0"/>
          <w:sz w:val="28"/>
          <w:szCs w:val="28"/>
        </w:rPr>
        <w:t>学生的毕业论文（设计）相关材料上交</w:t>
      </w:r>
      <w:r>
        <w:rPr>
          <w:rFonts w:hint="eastAsia" w:ascii="宋体" w:hAnsi="宋体" w:eastAsia="宋体" w:cs="宋体"/>
          <w:color w:val="auto"/>
          <w:spacing w:val="6"/>
          <w:kern w:val="0"/>
          <w:sz w:val="28"/>
          <w:szCs w:val="28"/>
          <w:lang w:val="en-US" w:eastAsia="zh-CN"/>
        </w:rPr>
        <w:t>至</w:t>
      </w:r>
      <w:r>
        <w:rPr>
          <w:rFonts w:hint="eastAsia" w:ascii="宋体" w:hAnsi="宋体" w:eastAsia="宋体" w:cs="宋体"/>
          <w:color w:val="auto"/>
          <w:spacing w:val="6"/>
          <w:kern w:val="0"/>
          <w:sz w:val="28"/>
          <w:szCs w:val="28"/>
        </w:rPr>
        <w:t>教学质量管理处，未及时上交者将不予</w:t>
      </w:r>
      <w:r>
        <w:rPr>
          <w:rFonts w:hint="eastAsia" w:ascii="宋体" w:hAnsi="宋体" w:eastAsia="宋体" w:cs="宋体"/>
          <w:color w:val="auto"/>
          <w:spacing w:val="6"/>
          <w:kern w:val="0"/>
          <w:sz w:val="28"/>
          <w:szCs w:val="28"/>
          <w:lang w:val="en-US" w:eastAsia="zh-CN"/>
        </w:rPr>
        <w:t>参加学院和学校</w:t>
      </w:r>
      <w:r>
        <w:rPr>
          <w:rFonts w:hint="eastAsia" w:ascii="宋体" w:hAnsi="宋体" w:eastAsia="宋体" w:cs="宋体"/>
          <w:color w:val="auto"/>
          <w:spacing w:val="6"/>
          <w:kern w:val="0"/>
          <w:sz w:val="28"/>
          <w:szCs w:val="28"/>
        </w:rPr>
        <w:t>答辩，毕业论文（设计）按答辩不通过处理。</w:t>
      </w:r>
    </w:p>
    <w:p>
      <w:pPr>
        <w:keepNext w:val="0"/>
        <w:keepLines w:val="0"/>
        <w:pageBreakBefore w:val="0"/>
        <w:kinsoku/>
        <w:overflowPunct/>
        <w:topLinePunct w:val="0"/>
        <w:autoSpaceDE/>
        <w:autoSpaceDN/>
        <w:bidi w:val="0"/>
        <w:spacing w:line="580" w:lineRule="exact"/>
        <w:ind w:left="0" w:firstLine="584" w:firstLineChars="200"/>
        <w:textAlignment w:val="auto"/>
        <w:rPr>
          <w:rFonts w:hint="eastAsia" w:ascii="宋体" w:hAnsi="宋体" w:eastAsia="宋体" w:cs="宋体"/>
          <w:bCs/>
          <w:color w:val="auto"/>
          <w:sz w:val="28"/>
          <w:szCs w:val="28"/>
        </w:rPr>
      </w:pPr>
      <w:r>
        <w:rPr>
          <w:rFonts w:hint="eastAsia" w:ascii="宋体" w:hAnsi="宋体" w:eastAsia="宋体" w:cs="宋体"/>
          <w:color w:val="auto"/>
          <w:spacing w:val="6"/>
          <w:kern w:val="0"/>
          <w:sz w:val="28"/>
          <w:szCs w:val="28"/>
        </w:rPr>
        <w:t>3</w:t>
      </w:r>
      <w:r>
        <w:rPr>
          <w:rFonts w:hint="eastAsia" w:ascii="宋体" w:hAnsi="宋体" w:eastAsia="宋体" w:cs="宋体"/>
          <w:color w:val="auto"/>
          <w:spacing w:val="6"/>
          <w:kern w:val="0"/>
          <w:sz w:val="28"/>
          <w:szCs w:val="28"/>
          <w:lang w:val="en-US" w:eastAsia="zh-CN"/>
        </w:rPr>
        <w:t>.</w:t>
      </w:r>
      <w:r>
        <w:rPr>
          <w:rFonts w:hint="eastAsia" w:ascii="宋体" w:hAnsi="宋体" w:eastAsia="宋体" w:cs="宋体"/>
          <w:color w:val="auto"/>
          <w:spacing w:val="6"/>
          <w:kern w:val="0"/>
          <w:sz w:val="28"/>
          <w:szCs w:val="28"/>
        </w:rPr>
        <w:t>各教学学院将被抽到的毕业论文（设计）按照</w:t>
      </w:r>
      <w:r>
        <w:rPr>
          <w:rFonts w:hint="eastAsia" w:ascii="宋体" w:hAnsi="宋体" w:eastAsia="宋体" w:cs="宋体"/>
          <w:color w:val="auto"/>
          <w:sz w:val="28"/>
          <w:szCs w:val="28"/>
          <w:lang w:val="en-US" w:eastAsia="zh-CN"/>
        </w:rPr>
        <w:t>《湖南科技学院本科毕业论文（设计）工作管理条例》（湘科院教发【2018】60号）</w:t>
      </w:r>
      <w:r>
        <w:rPr>
          <w:rFonts w:hint="eastAsia" w:ascii="宋体" w:hAnsi="宋体" w:eastAsia="宋体" w:cs="宋体"/>
          <w:color w:val="auto"/>
          <w:spacing w:val="6"/>
          <w:kern w:val="0"/>
          <w:sz w:val="28"/>
          <w:szCs w:val="28"/>
        </w:rPr>
        <w:t>中的要求准备好所有相关资料，</w:t>
      </w:r>
      <w:r>
        <w:rPr>
          <w:rFonts w:hint="eastAsia" w:ascii="宋体" w:hAnsi="宋体" w:eastAsia="宋体" w:cs="宋体"/>
          <w:bCs/>
          <w:color w:val="auto"/>
          <w:sz w:val="28"/>
          <w:szCs w:val="28"/>
        </w:rPr>
        <w:t>教学质量管理处组织专人对上交材料进行审查，材料审查不合格的，不能</w:t>
      </w:r>
      <w:r>
        <w:rPr>
          <w:rFonts w:hint="eastAsia" w:ascii="宋体" w:hAnsi="宋体" w:eastAsia="宋体" w:cs="宋体"/>
          <w:bCs/>
          <w:color w:val="auto"/>
          <w:sz w:val="28"/>
          <w:szCs w:val="28"/>
          <w:lang w:val="en-US" w:eastAsia="zh-CN"/>
        </w:rPr>
        <w:t>参加学院和学校</w:t>
      </w:r>
      <w:r>
        <w:rPr>
          <w:rFonts w:hint="eastAsia" w:ascii="宋体" w:hAnsi="宋体" w:eastAsia="宋体" w:cs="宋体"/>
          <w:bCs/>
          <w:color w:val="auto"/>
          <w:sz w:val="28"/>
          <w:szCs w:val="28"/>
        </w:rPr>
        <w:t>答辩。</w:t>
      </w:r>
    </w:p>
    <w:p>
      <w:pPr>
        <w:keepNext w:val="0"/>
        <w:keepLines w:val="0"/>
        <w:pageBreakBefore w:val="0"/>
        <w:kinsoku/>
        <w:overflowPunct/>
        <w:topLinePunct w:val="0"/>
        <w:autoSpaceDE/>
        <w:autoSpaceDN/>
        <w:bidi w:val="0"/>
        <w:spacing w:line="580" w:lineRule="exact"/>
        <w:ind w:left="0" w:firstLine="584" w:firstLineChars="200"/>
        <w:textAlignment w:val="auto"/>
        <w:rPr>
          <w:rFonts w:hint="eastAsia" w:ascii="宋体" w:hAnsi="宋体" w:eastAsia="宋体" w:cs="宋体"/>
          <w:color w:val="auto"/>
          <w:spacing w:val="6"/>
          <w:kern w:val="0"/>
          <w:sz w:val="28"/>
          <w:szCs w:val="28"/>
          <w:lang w:val="en-US" w:eastAsia="zh-CN"/>
        </w:rPr>
      </w:pPr>
      <w:r>
        <w:rPr>
          <w:rFonts w:hint="eastAsia" w:ascii="宋体" w:hAnsi="宋体" w:eastAsia="宋体" w:cs="宋体"/>
          <w:color w:val="auto"/>
          <w:spacing w:val="6"/>
          <w:kern w:val="0"/>
          <w:sz w:val="28"/>
          <w:szCs w:val="28"/>
          <w:lang w:val="en-US" w:eastAsia="zh-CN"/>
        </w:rPr>
        <w:t>4.</w:t>
      </w:r>
      <w:r>
        <w:rPr>
          <w:rFonts w:hint="eastAsia" w:ascii="宋体" w:hAnsi="宋体" w:eastAsia="宋体" w:cs="宋体"/>
          <w:color w:val="auto"/>
          <w:spacing w:val="6"/>
          <w:kern w:val="0"/>
          <w:sz w:val="28"/>
          <w:szCs w:val="28"/>
        </w:rPr>
        <w:t>参加</w:t>
      </w:r>
      <w:r>
        <w:rPr>
          <w:rFonts w:hint="eastAsia" w:ascii="宋体" w:hAnsi="宋体" w:eastAsia="宋体" w:cs="宋体"/>
          <w:color w:val="auto"/>
          <w:spacing w:val="6"/>
          <w:kern w:val="0"/>
          <w:sz w:val="28"/>
          <w:szCs w:val="28"/>
          <w:lang w:val="en-US" w:eastAsia="zh-CN"/>
        </w:rPr>
        <w:t>抽检和</w:t>
      </w:r>
      <w:r>
        <w:rPr>
          <w:rFonts w:hint="eastAsia" w:ascii="宋体" w:hAnsi="宋体" w:eastAsia="宋体" w:cs="宋体"/>
          <w:color w:val="auto"/>
          <w:spacing w:val="6"/>
          <w:kern w:val="0"/>
          <w:sz w:val="28"/>
          <w:szCs w:val="28"/>
        </w:rPr>
        <w:t>校级答辩学生</w:t>
      </w:r>
      <w:r>
        <w:rPr>
          <w:rFonts w:hint="eastAsia" w:ascii="宋体" w:hAnsi="宋体" w:eastAsia="宋体" w:cs="宋体"/>
          <w:color w:val="auto"/>
          <w:spacing w:val="6"/>
          <w:kern w:val="0"/>
          <w:sz w:val="28"/>
          <w:szCs w:val="28"/>
          <w:lang w:val="en-US" w:eastAsia="zh-CN"/>
        </w:rPr>
        <w:t>的毕业论文（设计）材料要按</w:t>
      </w:r>
      <w:r>
        <w:rPr>
          <w:rFonts w:hint="eastAsia" w:ascii="宋体" w:hAnsi="宋体" w:eastAsia="宋体" w:cs="宋体"/>
          <w:color w:val="auto"/>
          <w:spacing w:val="6"/>
          <w:kern w:val="0"/>
          <w:sz w:val="28"/>
          <w:szCs w:val="28"/>
        </w:rPr>
        <w:t>规定</w:t>
      </w:r>
      <w:r>
        <w:rPr>
          <w:rFonts w:hint="eastAsia" w:ascii="宋体" w:hAnsi="宋体" w:eastAsia="宋体" w:cs="宋体"/>
          <w:color w:val="auto"/>
          <w:spacing w:val="6"/>
          <w:kern w:val="0"/>
          <w:sz w:val="28"/>
          <w:szCs w:val="28"/>
          <w:lang w:val="en-US" w:eastAsia="zh-CN"/>
        </w:rPr>
        <w:t>整理和</w:t>
      </w:r>
      <w:r>
        <w:rPr>
          <w:rFonts w:hint="eastAsia" w:ascii="宋体" w:hAnsi="宋体" w:eastAsia="宋体" w:cs="宋体"/>
          <w:color w:val="auto"/>
          <w:spacing w:val="6"/>
          <w:kern w:val="0"/>
          <w:sz w:val="28"/>
          <w:szCs w:val="28"/>
        </w:rPr>
        <w:t>上交</w:t>
      </w:r>
      <w:r>
        <w:rPr>
          <w:rFonts w:hint="eastAsia" w:ascii="宋体" w:hAnsi="宋体" w:eastAsia="宋体" w:cs="宋体"/>
          <w:color w:val="auto"/>
          <w:spacing w:val="6"/>
          <w:kern w:val="0"/>
          <w:sz w:val="28"/>
          <w:szCs w:val="28"/>
          <w:lang w:eastAsia="zh-CN"/>
        </w:rPr>
        <w:t>，</w:t>
      </w:r>
      <w:r>
        <w:rPr>
          <w:rFonts w:hint="eastAsia" w:ascii="宋体" w:hAnsi="宋体" w:eastAsia="宋体" w:cs="宋体"/>
          <w:color w:val="auto"/>
          <w:spacing w:val="6"/>
          <w:kern w:val="0"/>
          <w:sz w:val="28"/>
          <w:szCs w:val="28"/>
          <w:lang w:val="en-US" w:eastAsia="zh-CN"/>
        </w:rPr>
        <w:t>具体要求如下：</w:t>
      </w:r>
    </w:p>
    <w:p>
      <w:pPr>
        <w:keepNext w:val="0"/>
        <w:keepLines w:val="0"/>
        <w:pageBreakBefore w:val="0"/>
        <w:kinsoku/>
        <w:overflowPunct/>
        <w:topLinePunct w:val="0"/>
        <w:autoSpaceDE/>
        <w:autoSpaceDN/>
        <w:bidi w:val="0"/>
        <w:spacing w:line="580" w:lineRule="exact"/>
        <w:ind w:left="0" w:firstLine="560" w:firstLineChars="200"/>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（1）</w:t>
      </w:r>
      <w:r>
        <w:rPr>
          <w:rFonts w:hint="eastAsia" w:ascii="宋体" w:hAnsi="宋体" w:eastAsia="宋体" w:cs="宋体"/>
          <w:color w:val="auto"/>
          <w:spacing w:val="6"/>
          <w:kern w:val="0"/>
          <w:sz w:val="28"/>
          <w:szCs w:val="28"/>
          <w:lang w:val="en-US" w:eastAsia="zh-CN"/>
        </w:rPr>
        <w:t>参加抽检的毕业论文（设计）</w:t>
      </w:r>
      <w:r>
        <w:rPr>
          <w:rFonts w:hint="eastAsia" w:ascii="宋体" w:hAnsi="宋体" w:eastAsia="宋体" w:cs="宋体"/>
          <w:color w:val="auto"/>
          <w:sz w:val="28"/>
          <w:szCs w:val="28"/>
          <w:lang w:val="en-US" w:eastAsia="zh-CN"/>
        </w:rPr>
        <w:t>文本中</w:t>
      </w:r>
      <w:r>
        <w:rPr>
          <w:rFonts w:hint="eastAsia" w:ascii="宋体" w:hAnsi="宋体" w:eastAsia="宋体" w:cs="宋体"/>
          <w:color w:val="auto"/>
          <w:sz w:val="28"/>
          <w:szCs w:val="28"/>
        </w:rPr>
        <w:t>不能出现指导老师姓名及相关信息</w:t>
      </w:r>
      <w:r>
        <w:rPr>
          <w:rFonts w:hint="eastAsia" w:ascii="宋体" w:hAnsi="宋体" w:eastAsia="宋体" w:cs="宋体"/>
          <w:color w:val="auto"/>
          <w:sz w:val="28"/>
          <w:szCs w:val="28"/>
          <w:lang w:eastAsia="zh-CN"/>
        </w:rPr>
        <w:t>，</w:t>
      </w:r>
      <w:r>
        <w:rPr>
          <w:rFonts w:hint="eastAsia" w:ascii="宋体" w:hAnsi="宋体" w:eastAsia="宋体" w:cs="宋体"/>
          <w:color w:val="auto"/>
          <w:sz w:val="28"/>
          <w:szCs w:val="28"/>
          <w:lang w:val="en-US" w:eastAsia="zh-CN"/>
        </w:rPr>
        <w:t>需上交纸质稿一式三份及相应的电子稿</w:t>
      </w:r>
      <w:r>
        <w:rPr>
          <w:rFonts w:hint="eastAsia" w:ascii="宋体" w:hAnsi="宋体" w:eastAsia="宋体" w:cs="宋体"/>
          <w:color w:val="auto"/>
          <w:sz w:val="28"/>
          <w:szCs w:val="28"/>
          <w:lang w:eastAsia="zh-CN"/>
        </w:rPr>
        <w:t>。</w:t>
      </w:r>
      <w:r>
        <w:rPr>
          <w:rFonts w:hint="eastAsia" w:ascii="宋体" w:hAnsi="宋体" w:eastAsia="宋体" w:cs="宋体"/>
          <w:color w:val="auto"/>
          <w:sz w:val="28"/>
          <w:szCs w:val="28"/>
        </w:rPr>
        <w:t>具体顺序如下：</w:t>
      </w:r>
    </w:p>
    <w:p>
      <w:pPr>
        <w:keepNext w:val="0"/>
        <w:keepLines w:val="0"/>
        <w:pageBreakBefore w:val="0"/>
        <w:kinsoku/>
        <w:overflowPunct/>
        <w:topLinePunct w:val="0"/>
        <w:autoSpaceDE/>
        <w:autoSpaceDN/>
        <w:bidi w:val="0"/>
        <w:spacing w:line="580" w:lineRule="exact"/>
        <w:ind w:left="0" w:firstLine="560" w:firstLineChars="200"/>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rPr>
        <w:t>封面→目录→中文题目→中文摘要→关键词（中文）→英文题目→英文摘要→关键词（英文）→正文→参考文献→</w:t>
      </w:r>
      <w:r>
        <w:rPr>
          <w:rFonts w:hint="eastAsia" w:ascii="宋体" w:hAnsi="宋体" w:eastAsia="宋体" w:cs="宋体"/>
          <w:color w:val="auto"/>
          <w:sz w:val="28"/>
          <w:szCs w:val="28"/>
          <w:lang w:val="en-US" w:eastAsia="zh-CN"/>
        </w:rPr>
        <w:t>论文查重</w:t>
      </w:r>
      <w:r>
        <w:rPr>
          <w:rFonts w:hint="eastAsia" w:ascii="宋体" w:hAnsi="宋体" w:eastAsia="宋体" w:cs="宋体"/>
          <w:color w:val="auto"/>
          <w:sz w:val="28"/>
          <w:szCs w:val="28"/>
        </w:rPr>
        <w:t>检测报告</w:t>
      </w:r>
    </w:p>
    <w:p>
      <w:pPr>
        <w:keepNext w:val="0"/>
        <w:keepLines w:val="0"/>
        <w:pageBreakBefore w:val="0"/>
        <w:numPr>
          <w:ilvl w:val="0"/>
          <w:numId w:val="1"/>
        </w:numPr>
        <w:kinsoku/>
        <w:overflowPunct/>
        <w:topLinePunct w:val="0"/>
        <w:autoSpaceDE/>
        <w:autoSpaceDN/>
        <w:bidi w:val="0"/>
        <w:spacing w:line="580" w:lineRule="exact"/>
        <w:ind w:left="0" w:firstLine="560" w:firstLineChars="200"/>
        <w:textAlignment w:val="auto"/>
        <w:rPr>
          <w:rFonts w:hint="eastAsia" w:ascii="宋体" w:hAnsi="宋体" w:eastAsia="宋体" w:cs="宋体"/>
          <w:color w:val="auto"/>
          <w:sz w:val="28"/>
          <w:szCs w:val="28"/>
          <w:lang w:val="en-US" w:eastAsia="zh-CN"/>
        </w:rPr>
      </w:pPr>
      <w:r>
        <w:rPr>
          <w:rFonts w:hint="eastAsia" w:ascii="宋体" w:hAnsi="宋体" w:eastAsia="宋体" w:cs="宋体"/>
          <w:bCs/>
          <w:color w:val="auto"/>
          <w:sz w:val="28"/>
          <w:szCs w:val="28"/>
          <w:lang w:val="en-US" w:eastAsia="zh-CN"/>
        </w:rPr>
        <w:t>校级答辩</w:t>
      </w:r>
      <w:r>
        <w:rPr>
          <w:rFonts w:hint="eastAsia" w:ascii="宋体" w:hAnsi="宋体" w:eastAsia="宋体" w:cs="宋体"/>
          <w:color w:val="auto"/>
          <w:sz w:val="28"/>
          <w:szCs w:val="28"/>
        </w:rPr>
        <w:t>毕业论文</w:t>
      </w:r>
      <w:r>
        <w:rPr>
          <w:rFonts w:hint="eastAsia" w:ascii="宋体" w:hAnsi="宋体" w:eastAsia="宋体" w:cs="宋体"/>
          <w:color w:val="auto"/>
          <w:sz w:val="28"/>
          <w:szCs w:val="28"/>
          <w:lang w:eastAsia="zh-CN"/>
        </w:rPr>
        <w:t>（</w:t>
      </w:r>
      <w:r>
        <w:rPr>
          <w:rFonts w:hint="eastAsia" w:ascii="宋体" w:hAnsi="宋体" w:eastAsia="宋体" w:cs="宋体"/>
          <w:color w:val="auto"/>
          <w:sz w:val="28"/>
          <w:szCs w:val="28"/>
          <w:lang w:val="en-US" w:eastAsia="zh-CN"/>
        </w:rPr>
        <w:t>设计</w:t>
      </w:r>
      <w:r>
        <w:rPr>
          <w:rFonts w:hint="eastAsia" w:ascii="宋体" w:hAnsi="宋体" w:eastAsia="宋体" w:cs="宋体"/>
          <w:color w:val="auto"/>
          <w:sz w:val="28"/>
          <w:szCs w:val="28"/>
          <w:lang w:eastAsia="zh-CN"/>
        </w:rPr>
        <w:t>）</w:t>
      </w:r>
      <w:r>
        <w:rPr>
          <w:rFonts w:hint="eastAsia" w:ascii="宋体" w:hAnsi="宋体" w:eastAsia="宋体" w:cs="宋体"/>
          <w:color w:val="auto"/>
          <w:sz w:val="28"/>
          <w:szCs w:val="28"/>
        </w:rPr>
        <w:t>材料</w:t>
      </w:r>
      <w:r>
        <w:rPr>
          <w:rFonts w:hint="eastAsia" w:ascii="宋体" w:hAnsi="宋体" w:eastAsia="宋体" w:cs="宋体"/>
          <w:color w:val="auto"/>
          <w:sz w:val="28"/>
          <w:szCs w:val="28"/>
          <w:lang w:val="en-US" w:eastAsia="zh-CN"/>
        </w:rPr>
        <w:t>分两部分上交。</w:t>
      </w:r>
    </w:p>
    <w:p>
      <w:pPr>
        <w:keepNext w:val="0"/>
        <w:keepLines w:val="0"/>
        <w:pageBreakBefore w:val="0"/>
        <w:numPr>
          <w:ilvl w:val="0"/>
          <w:numId w:val="0"/>
        </w:numPr>
        <w:kinsoku/>
        <w:overflowPunct/>
        <w:topLinePunct w:val="0"/>
        <w:autoSpaceDE/>
        <w:autoSpaceDN/>
        <w:bidi w:val="0"/>
        <w:spacing w:line="580" w:lineRule="exact"/>
        <w:ind w:left="0" w:firstLine="560" w:firstLineChars="200"/>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论文前置部分</w:t>
      </w:r>
      <w:r>
        <w:rPr>
          <w:rFonts w:hint="eastAsia" w:ascii="宋体" w:hAnsi="宋体" w:eastAsia="宋体" w:cs="宋体"/>
          <w:color w:val="auto"/>
          <w:spacing w:val="6"/>
          <w:kern w:val="0"/>
          <w:sz w:val="28"/>
          <w:szCs w:val="28"/>
          <w:lang w:val="en-US" w:eastAsia="zh-CN"/>
        </w:rPr>
        <w:t>材料</w:t>
      </w:r>
      <w:r>
        <w:rPr>
          <w:rFonts w:hint="eastAsia" w:ascii="宋体" w:hAnsi="宋体" w:eastAsia="宋体" w:cs="宋体"/>
          <w:color w:val="auto"/>
          <w:spacing w:val="6"/>
          <w:kern w:val="0"/>
          <w:sz w:val="28"/>
          <w:szCs w:val="28"/>
        </w:rPr>
        <w:t>除答辩记录表外</w:t>
      </w:r>
      <w:r>
        <w:rPr>
          <w:rFonts w:hint="eastAsia" w:ascii="宋体" w:hAnsi="宋体" w:eastAsia="宋体" w:cs="宋体"/>
          <w:color w:val="auto"/>
          <w:spacing w:val="6"/>
          <w:kern w:val="0"/>
          <w:sz w:val="28"/>
          <w:szCs w:val="28"/>
          <w:lang w:eastAsia="zh-CN"/>
        </w:rPr>
        <w:t>，</w:t>
      </w:r>
      <w:r>
        <w:rPr>
          <w:rFonts w:hint="eastAsia" w:ascii="宋体" w:hAnsi="宋体" w:eastAsia="宋体" w:cs="宋体"/>
          <w:color w:val="auto"/>
          <w:spacing w:val="6"/>
          <w:kern w:val="0"/>
          <w:sz w:val="28"/>
          <w:szCs w:val="28"/>
        </w:rPr>
        <w:t>所有意见都需教学学院和</w:t>
      </w:r>
      <w:r>
        <w:rPr>
          <w:rFonts w:hint="eastAsia" w:ascii="宋体" w:hAnsi="宋体" w:eastAsia="宋体" w:cs="宋体"/>
          <w:color w:val="auto"/>
          <w:spacing w:val="6"/>
          <w:kern w:val="0"/>
          <w:sz w:val="28"/>
          <w:szCs w:val="28"/>
          <w:lang w:val="en-US" w:eastAsia="zh-CN"/>
        </w:rPr>
        <w:t>指导老师</w:t>
      </w:r>
      <w:r>
        <w:rPr>
          <w:rFonts w:hint="eastAsia" w:ascii="宋体" w:hAnsi="宋体" w:eastAsia="宋体" w:cs="宋体"/>
          <w:color w:val="auto"/>
          <w:spacing w:val="6"/>
          <w:kern w:val="0"/>
          <w:sz w:val="28"/>
          <w:szCs w:val="28"/>
        </w:rPr>
        <w:t>签署好</w:t>
      </w:r>
      <w:r>
        <w:rPr>
          <w:rFonts w:hint="eastAsia" w:ascii="宋体" w:hAnsi="宋体" w:eastAsia="宋体" w:cs="宋体"/>
          <w:color w:val="auto"/>
          <w:spacing w:val="6"/>
          <w:kern w:val="0"/>
          <w:sz w:val="28"/>
          <w:szCs w:val="28"/>
          <w:lang w:eastAsia="zh-CN"/>
        </w:rPr>
        <w:t>，</w:t>
      </w:r>
      <w:r>
        <w:rPr>
          <w:rFonts w:hint="eastAsia" w:ascii="宋体" w:hAnsi="宋体" w:eastAsia="宋体" w:cs="宋体"/>
          <w:color w:val="auto"/>
          <w:sz w:val="28"/>
          <w:szCs w:val="28"/>
        </w:rPr>
        <w:t>和论文</w:t>
      </w:r>
      <w:r>
        <w:rPr>
          <w:rFonts w:hint="eastAsia" w:ascii="宋体" w:hAnsi="宋体" w:eastAsia="宋体" w:cs="宋体"/>
          <w:color w:val="auto"/>
          <w:sz w:val="28"/>
          <w:szCs w:val="28"/>
          <w:lang w:val="en-US" w:eastAsia="zh-CN"/>
        </w:rPr>
        <w:t>查重</w:t>
      </w:r>
      <w:r>
        <w:rPr>
          <w:rFonts w:hint="eastAsia" w:ascii="宋体" w:hAnsi="宋体" w:eastAsia="宋体" w:cs="宋体"/>
          <w:color w:val="auto"/>
          <w:sz w:val="28"/>
          <w:szCs w:val="28"/>
        </w:rPr>
        <w:t>检测报告</w:t>
      </w:r>
      <w:r>
        <w:rPr>
          <w:rFonts w:hint="eastAsia" w:ascii="宋体" w:hAnsi="宋体" w:eastAsia="宋体" w:cs="宋体"/>
          <w:color w:val="auto"/>
          <w:sz w:val="28"/>
          <w:szCs w:val="28"/>
          <w:lang w:val="en-US" w:eastAsia="zh-CN"/>
        </w:rPr>
        <w:t>一起</w:t>
      </w:r>
      <w:r>
        <w:rPr>
          <w:rFonts w:hint="eastAsia" w:ascii="宋体" w:hAnsi="宋体" w:eastAsia="宋体" w:cs="宋体"/>
          <w:color w:val="auto"/>
          <w:sz w:val="28"/>
          <w:szCs w:val="28"/>
        </w:rPr>
        <w:t>按以下顺序单独整理成册</w:t>
      </w:r>
      <w:r>
        <w:rPr>
          <w:rFonts w:hint="eastAsia" w:ascii="宋体" w:hAnsi="宋体" w:eastAsia="宋体" w:cs="宋体"/>
          <w:color w:val="auto"/>
          <w:sz w:val="28"/>
          <w:szCs w:val="28"/>
          <w:lang w:eastAsia="zh-CN"/>
        </w:rPr>
        <w:t>，</w:t>
      </w:r>
      <w:r>
        <w:rPr>
          <w:rFonts w:hint="eastAsia" w:ascii="宋体" w:hAnsi="宋体" w:eastAsia="宋体" w:cs="宋体"/>
          <w:color w:val="auto"/>
          <w:sz w:val="28"/>
          <w:szCs w:val="28"/>
          <w:lang w:val="en-US" w:eastAsia="zh-CN"/>
        </w:rPr>
        <w:t>只上交纸质稿一式一份</w:t>
      </w:r>
      <w:r>
        <w:rPr>
          <w:rFonts w:hint="eastAsia" w:ascii="宋体" w:hAnsi="宋体" w:eastAsia="宋体" w:cs="宋体"/>
          <w:color w:val="auto"/>
          <w:sz w:val="28"/>
          <w:szCs w:val="28"/>
        </w:rPr>
        <w:t>（请</w:t>
      </w:r>
      <w:r>
        <w:rPr>
          <w:rFonts w:hint="eastAsia" w:ascii="宋体" w:hAnsi="宋体" w:eastAsia="宋体" w:cs="宋体"/>
          <w:color w:val="auto"/>
          <w:sz w:val="28"/>
          <w:szCs w:val="28"/>
          <w:lang w:val="en-US" w:eastAsia="zh-CN"/>
        </w:rPr>
        <w:t>用档案夹夹好，</w:t>
      </w:r>
      <w:r>
        <w:rPr>
          <w:rFonts w:hint="eastAsia" w:ascii="宋体" w:hAnsi="宋体" w:eastAsia="宋体" w:cs="宋体"/>
          <w:color w:val="auto"/>
          <w:sz w:val="28"/>
          <w:szCs w:val="28"/>
        </w:rPr>
        <w:t>勿装订）</w:t>
      </w:r>
      <w:r>
        <w:rPr>
          <w:rFonts w:hint="eastAsia" w:ascii="宋体" w:hAnsi="宋体" w:eastAsia="宋体" w:cs="宋体"/>
          <w:color w:val="auto"/>
          <w:sz w:val="28"/>
          <w:szCs w:val="28"/>
          <w:lang w:eastAsia="zh-CN"/>
        </w:rPr>
        <w:t>，</w:t>
      </w:r>
      <w:r>
        <w:rPr>
          <w:rFonts w:hint="eastAsia" w:ascii="宋体" w:hAnsi="宋体" w:eastAsia="宋体" w:cs="宋体"/>
          <w:color w:val="auto"/>
          <w:sz w:val="28"/>
          <w:szCs w:val="28"/>
          <w:lang w:val="en-US" w:eastAsia="zh-CN"/>
        </w:rPr>
        <w:t>无须上交电子稿（删除）</w:t>
      </w:r>
      <w:r>
        <w:rPr>
          <w:rFonts w:hint="eastAsia" w:ascii="宋体" w:hAnsi="宋体" w:eastAsia="宋体" w:cs="宋体"/>
          <w:color w:val="auto"/>
          <w:sz w:val="28"/>
          <w:szCs w:val="28"/>
        </w:rPr>
        <w:t>。具体顺序如下</w:t>
      </w:r>
      <w:r>
        <w:rPr>
          <w:rFonts w:hint="eastAsia" w:ascii="宋体" w:hAnsi="宋体" w:eastAsia="宋体" w:cs="宋体"/>
          <w:color w:val="auto"/>
          <w:sz w:val="28"/>
          <w:szCs w:val="28"/>
          <w:lang w:eastAsia="zh-CN"/>
        </w:rPr>
        <w:t>：</w:t>
      </w:r>
      <w:r>
        <w:rPr>
          <w:rFonts w:hint="eastAsia" w:ascii="宋体" w:hAnsi="宋体" w:eastAsia="宋体" w:cs="宋体"/>
          <w:color w:val="auto"/>
          <w:sz w:val="28"/>
          <w:szCs w:val="28"/>
        </w:rPr>
        <w:t>封面→毕业论文（设计）诚信声明（签名必须手写）→毕业论文（设计）任务书→ 毕业论文（设计）开题报告书→毕业论文（设计）中期检查表→毕业论文（设计）评审表→毕业论文（设计）答辩记录表→</w:t>
      </w:r>
      <w:r>
        <w:rPr>
          <w:rFonts w:hint="eastAsia" w:ascii="宋体" w:hAnsi="宋体" w:eastAsia="宋体" w:cs="宋体"/>
          <w:color w:val="auto"/>
          <w:sz w:val="28"/>
          <w:szCs w:val="28"/>
          <w:lang w:val="en-US" w:eastAsia="zh-CN"/>
        </w:rPr>
        <w:t>论文查重</w:t>
      </w:r>
      <w:r>
        <w:rPr>
          <w:rFonts w:hint="eastAsia" w:ascii="宋体" w:hAnsi="宋体" w:eastAsia="宋体" w:cs="宋体"/>
          <w:color w:val="auto"/>
          <w:sz w:val="28"/>
          <w:szCs w:val="28"/>
        </w:rPr>
        <w:t xml:space="preserve">检测报告     </w:t>
      </w:r>
    </w:p>
    <w:p>
      <w:pPr>
        <w:keepNext w:val="0"/>
        <w:keepLines w:val="0"/>
        <w:pageBreakBefore w:val="0"/>
        <w:kinsoku/>
        <w:overflowPunct/>
        <w:topLinePunct w:val="0"/>
        <w:autoSpaceDE/>
        <w:autoSpaceDN/>
        <w:bidi w:val="0"/>
        <w:spacing w:line="580" w:lineRule="exact"/>
        <w:ind w:left="0" w:firstLine="560" w:firstLineChars="200"/>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论文主体部分不能出现指导老师姓名及相关信息</w:t>
      </w:r>
      <w:r>
        <w:rPr>
          <w:rFonts w:hint="eastAsia" w:ascii="宋体" w:hAnsi="宋体" w:eastAsia="宋体" w:cs="宋体"/>
          <w:color w:val="auto"/>
          <w:sz w:val="28"/>
          <w:szCs w:val="28"/>
          <w:lang w:eastAsia="zh-CN"/>
        </w:rPr>
        <w:t>，</w:t>
      </w:r>
      <w:r>
        <w:rPr>
          <w:rFonts w:hint="eastAsia" w:ascii="宋体" w:hAnsi="宋体" w:eastAsia="宋体" w:cs="宋体"/>
          <w:color w:val="auto"/>
          <w:sz w:val="28"/>
          <w:szCs w:val="28"/>
        </w:rPr>
        <w:t>和参考文献</w:t>
      </w:r>
      <w:r>
        <w:rPr>
          <w:rFonts w:hint="eastAsia" w:ascii="宋体" w:hAnsi="宋体" w:eastAsia="宋体" w:cs="宋体"/>
          <w:color w:val="auto"/>
          <w:sz w:val="28"/>
          <w:szCs w:val="28"/>
          <w:lang w:val="en-US" w:eastAsia="zh-CN"/>
        </w:rPr>
        <w:t>一起</w:t>
      </w:r>
      <w:r>
        <w:rPr>
          <w:rFonts w:hint="eastAsia" w:ascii="宋体" w:hAnsi="宋体" w:eastAsia="宋体" w:cs="宋体"/>
          <w:color w:val="auto"/>
          <w:sz w:val="28"/>
          <w:szCs w:val="28"/>
        </w:rPr>
        <w:t>整理成册</w:t>
      </w:r>
      <w:r>
        <w:rPr>
          <w:rFonts w:hint="eastAsia" w:ascii="宋体" w:hAnsi="宋体" w:eastAsia="宋体" w:cs="宋体"/>
          <w:color w:val="auto"/>
          <w:sz w:val="28"/>
          <w:szCs w:val="28"/>
          <w:lang w:eastAsia="zh-CN"/>
        </w:rPr>
        <w:t>，</w:t>
      </w:r>
      <w:r>
        <w:rPr>
          <w:rFonts w:hint="eastAsia" w:ascii="宋体" w:hAnsi="宋体" w:eastAsia="宋体" w:cs="宋体"/>
          <w:color w:val="auto"/>
          <w:sz w:val="28"/>
          <w:szCs w:val="28"/>
          <w:lang w:val="en-US" w:eastAsia="zh-CN"/>
        </w:rPr>
        <w:t>上交纸质稿一式五份及相应的电子稿</w:t>
      </w:r>
      <w:r>
        <w:rPr>
          <w:rFonts w:hint="eastAsia" w:ascii="宋体" w:hAnsi="宋体" w:eastAsia="宋体" w:cs="宋体"/>
          <w:color w:val="auto"/>
          <w:sz w:val="28"/>
          <w:szCs w:val="28"/>
        </w:rPr>
        <w:t xml:space="preserve">。具体顺序如下：封面→目录→中文题目→中文摘要→关键词（中文）→英文题目→英文摘要→关键词（英文）→正文→参考文献  </w:t>
      </w:r>
    </w:p>
    <w:p>
      <w:pPr>
        <w:keepNext w:val="0"/>
        <w:keepLines w:val="0"/>
        <w:pageBreakBefore w:val="0"/>
        <w:kinsoku/>
        <w:overflowPunct/>
        <w:topLinePunct w:val="0"/>
        <w:autoSpaceDE/>
        <w:autoSpaceDN/>
        <w:bidi w:val="0"/>
        <w:spacing w:line="580" w:lineRule="exact"/>
        <w:ind w:left="0" w:firstLine="584" w:firstLineChars="200"/>
        <w:textAlignment w:val="auto"/>
        <w:rPr>
          <w:rFonts w:hint="eastAsia" w:ascii="宋体" w:hAnsi="宋体" w:eastAsia="宋体" w:cs="宋体"/>
          <w:color w:val="auto"/>
          <w:sz w:val="28"/>
          <w:szCs w:val="28"/>
        </w:rPr>
      </w:pPr>
      <w:bookmarkStart w:id="2" w:name="OLE_LINK21"/>
      <w:bookmarkStart w:id="3" w:name="OLE_LINK19"/>
      <w:bookmarkStart w:id="4" w:name="OLE_LINK20"/>
      <w:r>
        <w:rPr>
          <w:rFonts w:hint="eastAsia" w:ascii="宋体" w:hAnsi="宋体" w:eastAsia="宋体" w:cs="宋体"/>
          <w:color w:val="auto"/>
          <w:spacing w:val="6"/>
          <w:kern w:val="0"/>
          <w:sz w:val="28"/>
          <w:szCs w:val="28"/>
          <w:lang w:eastAsia="zh-CN"/>
        </w:rPr>
        <w:t>（</w:t>
      </w:r>
      <w:r>
        <w:rPr>
          <w:rFonts w:hint="eastAsia" w:ascii="宋体" w:hAnsi="宋体" w:eastAsia="宋体" w:cs="宋体"/>
          <w:color w:val="auto"/>
          <w:spacing w:val="6"/>
          <w:kern w:val="0"/>
          <w:sz w:val="28"/>
          <w:szCs w:val="28"/>
          <w:lang w:val="en-US" w:eastAsia="zh-CN"/>
        </w:rPr>
        <w:t>3</w:t>
      </w:r>
      <w:r>
        <w:rPr>
          <w:rFonts w:hint="eastAsia" w:ascii="宋体" w:hAnsi="宋体" w:eastAsia="宋体" w:cs="宋体"/>
          <w:color w:val="auto"/>
          <w:spacing w:val="6"/>
          <w:kern w:val="0"/>
          <w:sz w:val="28"/>
          <w:szCs w:val="28"/>
          <w:lang w:eastAsia="zh-CN"/>
        </w:rPr>
        <w:t>）</w:t>
      </w:r>
      <w:r>
        <w:rPr>
          <w:rFonts w:hint="eastAsia" w:ascii="宋体" w:hAnsi="宋体" w:eastAsia="宋体" w:cs="宋体"/>
          <w:color w:val="auto"/>
          <w:spacing w:val="6"/>
          <w:kern w:val="0"/>
          <w:sz w:val="28"/>
          <w:szCs w:val="28"/>
          <w:lang w:val="en-US" w:eastAsia="zh-CN"/>
        </w:rPr>
        <w:t>教学学院上交</w:t>
      </w:r>
      <w:r>
        <w:rPr>
          <w:rFonts w:hint="eastAsia" w:ascii="宋体" w:hAnsi="宋体" w:eastAsia="宋体" w:cs="宋体"/>
          <w:color w:val="auto"/>
          <w:spacing w:val="6"/>
          <w:kern w:val="0"/>
          <w:sz w:val="28"/>
          <w:szCs w:val="28"/>
        </w:rPr>
        <w:t>电子稿</w:t>
      </w:r>
      <w:r>
        <w:rPr>
          <w:rFonts w:hint="eastAsia" w:ascii="宋体" w:hAnsi="宋体" w:eastAsia="宋体" w:cs="宋体"/>
          <w:color w:val="auto"/>
          <w:spacing w:val="6"/>
          <w:kern w:val="0"/>
          <w:sz w:val="28"/>
          <w:szCs w:val="28"/>
          <w:lang w:val="en-US" w:eastAsia="zh-CN"/>
        </w:rPr>
        <w:t>内容:参加抽检盲评和校级答辩学生的</w:t>
      </w:r>
      <w:r>
        <w:rPr>
          <w:rFonts w:hint="eastAsia" w:ascii="宋体" w:hAnsi="宋体" w:eastAsia="宋体" w:cs="宋体"/>
          <w:color w:val="auto"/>
          <w:spacing w:val="6"/>
          <w:kern w:val="0"/>
          <w:sz w:val="28"/>
          <w:szCs w:val="28"/>
        </w:rPr>
        <w:t>毕业论文（设计）基本情况汇总表</w:t>
      </w:r>
      <w:r>
        <w:rPr>
          <w:rFonts w:hint="eastAsia" w:ascii="宋体" w:hAnsi="宋体" w:eastAsia="宋体" w:cs="宋体"/>
          <w:color w:val="auto"/>
          <w:spacing w:val="6"/>
          <w:kern w:val="0"/>
          <w:sz w:val="28"/>
          <w:szCs w:val="28"/>
          <w:lang w:val="en-US" w:eastAsia="zh-CN"/>
        </w:rPr>
        <w:t>及电子稿。参加抽检盲评和校级答辩的毕业论文（设计）电子稿分类整理（</w:t>
      </w:r>
      <w:r>
        <w:rPr>
          <w:rFonts w:hint="eastAsia" w:ascii="宋体" w:hAnsi="宋体" w:eastAsia="宋体" w:cs="宋体"/>
          <w:color w:val="auto"/>
          <w:spacing w:val="6"/>
          <w:kern w:val="0"/>
          <w:sz w:val="28"/>
          <w:szCs w:val="28"/>
        </w:rPr>
        <w:t>学院文件夹格式：学院文件夹-专业文件夹-学生文件夹</w:t>
      </w:r>
      <w:r>
        <w:rPr>
          <w:rFonts w:hint="eastAsia" w:ascii="宋体" w:hAnsi="宋体" w:eastAsia="宋体" w:cs="宋体"/>
          <w:color w:val="auto"/>
          <w:spacing w:val="6"/>
          <w:kern w:val="0"/>
          <w:sz w:val="28"/>
          <w:szCs w:val="28"/>
          <w:lang w:eastAsia="zh-CN"/>
        </w:rPr>
        <w:t>，</w:t>
      </w:r>
      <w:r>
        <w:rPr>
          <w:rFonts w:hint="eastAsia" w:ascii="宋体" w:hAnsi="宋体" w:eastAsia="宋体" w:cs="宋体"/>
          <w:color w:val="auto"/>
          <w:spacing w:val="6"/>
          <w:kern w:val="0"/>
          <w:sz w:val="28"/>
          <w:szCs w:val="28"/>
        </w:rPr>
        <w:t>学生文件夹命名格式：学生学号-学生姓名-毕业论文题目</w:t>
      </w:r>
      <w:r>
        <w:rPr>
          <w:rFonts w:hint="eastAsia" w:ascii="宋体" w:hAnsi="宋体" w:eastAsia="宋体" w:cs="宋体"/>
          <w:color w:val="auto"/>
          <w:spacing w:val="6"/>
          <w:kern w:val="0"/>
          <w:sz w:val="28"/>
          <w:szCs w:val="28"/>
          <w:lang w:val="en-US" w:eastAsia="zh-CN"/>
        </w:rPr>
        <w:t>）</w:t>
      </w:r>
      <w:bookmarkEnd w:id="2"/>
      <w:bookmarkEnd w:id="3"/>
      <w:bookmarkEnd w:id="4"/>
      <w:r>
        <w:rPr>
          <w:rFonts w:hint="eastAsia" w:ascii="宋体" w:hAnsi="宋体" w:eastAsia="宋体" w:cs="宋体"/>
          <w:color w:val="auto"/>
          <w:spacing w:val="6"/>
          <w:kern w:val="0"/>
          <w:sz w:val="28"/>
          <w:szCs w:val="28"/>
          <w:lang w:eastAsia="zh-CN"/>
        </w:rPr>
        <w:t>。</w:t>
      </w:r>
    </w:p>
    <w:p>
      <w:pPr>
        <w:keepNext w:val="0"/>
        <w:keepLines w:val="0"/>
        <w:pageBreakBefore w:val="0"/>
        <w:kinsoku/>
        <w:overflowPunct/>
        <w:topLinePunct w:val="0"/>
        <w:autoSpaceDE/>
        <w:autoSpaceDN/>
        <w:bidi w:val="0"/>
        <w:spacing w:line="580" w:lineRule="exact"/>
        <w:ind w:left="0" w:firstLine="703" w:firstLineChars="250"/>
        <w:textAlignment w:val="auto"/>
        <w:rPr>
          <w:rFonts w:hint="eastAsia" w:ascii="宋体" w:hAnsi="宋体" w:eastAsia="宋体" w:cs="宋体"/>
          <w:b/>
          <w:bCs/>
          <w:color w:val="auto"/>
          <w:sz w:val="28"/>
          <w:szCs w:val="28"/>
          <w:lang w:val="en-US" w:eastAsia="zh-CN"/>
        </w:rPr>
      </w:pPr>
      <w:r>
        <w:rPr>
          <w:rFonts w:hint="eastAsia" w:ascii="宋体" w:hAnsi="宋体" w:eastAsia="宋体" w:cs="宋体"/>
          <w:b/>
          <w:bCs/>
          <w:color w:val="auto"/>
          <w:sz w:val="28"/>
          <w:szCs w:val="28"/>
          <w:lang w:val="en-US" w:eastAsia="zh-CN"/>
        </w:rPr>
        <w:t>四、抽检重点和程序</w:t>
      </w:r>
    </w:p>
    <w:p>
      <w:pPr>
        <w:keepNext w:val="0"/>
        <w:keepLines w:val="0"/>
        <w:pageBreakBefore w:val="0"/>
        <w:widowControl/>
        <w:kinsoku/>
        <w:overflowPunct/>
        <w:topLinePunct w:val="0"/>
        <w:autoSpaceDE/>
        <w:autoSpaceDN/>
        <w:bidi w:val="0"/>
        <w:adjustRightInd w:val="0"/>
        <w:snapToGrid w:val="0"/>
        <w:spacing w:line="580" w:lineRule="exact"/>
        <w:ind w:left="0" w:firstLine="560" w:firstLineChars="200"/>
        <w:textAlignment w:val="auto"/>
        <w:rPr>
          <w:rFonts w:hint="eastAsia" w:ascii="宋体" w:hAnsi="宋体" w:eastAsia="宋体" w:cs="宋体"/>
          <w:color w:val="auto"/>
          <w:sz w:val="28"/>
          <w:szCs w:val="28"/>
        </w:rPr>
      </w:pPr>
      <w:r>
        <w:rPr>
          <w:rFonts w:hint="eastAsia" w:ascii="宋体" w:hAnsi="宋体" w:eastAsia="宋体" w:cs="宋体"/>
          <w:color w:val="auto"/>
          <w:sz w:val="28"/>
          <w:szCs w:val="28"/>
          <w:lang w:val="en-US" w:eastAsia="zh-CN"/>
        </w:rPr>
        <w:t>1.抽检重点</w:t>
      </w:r>
    </w:p>
    <w:p>
      <w:pPr>
        <w:keepNext w:val="0"/>
        <w:keepLines w:val="0"/>
        <w:pageBreakBefore w:val="0"/>
        <w:widowControl/>
        <w:kinsoku/>
        <w:overflowPunct/>
        <w:topLinePunct w:val="0"/>
        <w:autoSpaceDE/>
        <w:autoSpaceDN/>
        <w:bidi w:val="0"/>
        <w:adjustRightInd w:val="0"/>
        <w:snapToGrid w:val="0"/>
        <w:spacing w:line="580" w:lineRule="exact"/>
        <w:ind w:left="0" w:firstLine="560" w:firstLineChars="200"/>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专家重点对抽检毕业论文（设计）的选题意义、写作安排、逻辑构建、专业能力以及学术规范等进行“合格性”考察，给出评议结果和意见。</w:t>
      </w:r>
    </w:p>
    <w:p>
      <w:pPr>
        <w:keepNext w:val="0"/>
        <w:keepLines w:val="0"/>
        <w:pageBreakBefore w:val="0"/>
        <w:widowControl/>
        <w:kinsoku/>
        <w:overflowPunct/>
        <w:topLinePunct w:val="0"/>
        <w:autoSpaceDE/>
        <w:autoSpaceDN/>
        <w:bidi w:val="0"/>
        <w:adjustRightInd w:val="0"/>
        <w:snapToGrid w:val="0"/>
        <w:spacing w:line="580" w:lineRule="exact"/>
        <w:ind w:left="0" w:firstLine="560" w:firstLineChars="200"/>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2.抽检程序</w:t>
      </w:r>
    </w:p>
    <w:p>
      <w:pPr>
        <w:keepNext w:val="0"/>
        <w:keepLines w:val="0"/>
        <w:pageBreakBefore w:val="0"/>
        <w:widowControl/>
        <w:kinsoku/>
        <w:overflowPunct/>
        <w:topLinePunct w:val="0"/>
        <w:autoSpaceDE/>
        <w:autoSpaceDN/>
        <w:bidi w:val="0"/>
        <w:adjustRightInd w:val="0"/>
        <w:snapToGrid w:val="0"/>
        <w:spacing w:line="580" w:lineRule="exact"/>
        <w:ind w:left="0" w:firstLine="560" w:firstLineChars="200"/>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（1）教学质量管理处根据学院上交的毕业论文（设计）基本情况汇总表，随机抽取抽检专业和学生名单。</w:t>
      </w:r>
    </w:p>
    <w:p>
      <w:pPr>
        <w:keepNext w:val="0"/>
        <w:keepLines w:val="0"/>
        <w:pageBreakBefore w:val="0"/>
        <w:widowControl/>
        <w:kinsoku/>
        <w:overflowPunct/>
        <w:topLinePunct w:val="0"/>
        <w:autoSpaceDE/>
        <w:autoSpaceDN/>
        <w:bidi w:val="0"/>
        <w:adjustRightInd w:val="0"/>
        <w:snapToGrid w:val="0"/>
        <w:spacing w:line="580" w:lineRule="exact"/>
        <w:ind w:left="0" w:firstLine="560" w:firstLineChars="200"/>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（2）根据抽检的专业聘请校内外同行专家对抽检论文进行盲评。每篇论文送 3 位同行专家，3 位专家中有 2 位以上（含 2 位）专家评议意见为“不合格”的毕业论文，结果将认定为“不合格”。3 位专家中有 1 位专家评议意见为“不合格”，将再送 2 位同行专家进行复评，如2位复评专家中有 1 位以上（含 1 位）专家评议意见为“不合格”，结果将认定为“不合格”。</w:t>
      </w:r>
    </w:p>
    <w:p>
      <w:pPr>
        <w:keepNext w:val="0"/>
        <w:keepLines w:val="0"/>
        <w:pageBreakBefore w:val="0"/>
        <w:widowControl/>
        <w:kinsoku/>
        <w:overflowPunct/>
        <w:topLinePunct w:val="0"/>
        <w:autoSpaceDE/>
        <w:autoSpaceDN/>
        <w:bidi w:val="0"/>
        <w:adjustRightInd w:val="0"/>
        <w:snapToGrid w:val="0"/>
        <w:spacing w:line="580" w:lineRule="exact"/>
        <w:ind w:left="0" w:firstLine="560" w:firstLineChars="200"/>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3.结果反馈</w:t>
      </w:r>
    </w:p>
    <w:p>
      <w:pPr>
        <w:keepNext w:val="0"/>
        <w:keepLines w:val="0"/>
        <w:pageBreakBefore w:val="0"/>
        <w:widowControl/>
        <w:kinsoku/>
        <w:overflowPunct/>
        <w:topLinePunct w:val="0"/>
        <w:autoSpaceDE/>
        <w:autoSpaceDN/>
        <w:bidi w:val="0"/>
        <w:adjustRightInd w:val="0"/>
        <w:snapToGrid w:val="0"/>
        <w:spacing w:line="580" w:lineRule="exact"/>
        <w:ind w:left="0" w:firstLine="560" w:firstLineChars="200"/>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论文抽检结果于5月13日前反馈教学学院。评定结果为“不合格”的毕业论文（设计），不能参加学院答辩。</w:t>
      </w:r>
    </w:p>
    <w:p>
      <w:pPr>
        <w:keepNext w:val="0"/>
        <w:keepLines w:val="0"/>
        <w:pageBreakBefore w:val="0"/>
        <w:kinsoku/>
        <w:overflowPunct/>
        <w:topLinePunct w:val="0"/>
        <w:autoSpaceDE/>
        <w:autoSpaceDN/>
        <w:bidi w:val="0"/>
        <w:spacing w:line="580" w:lineRule="exact"/>
        <w:ind w:left="0" w:firstLine="703" w:firstLineChars="250"/>
        <w:textAlignment w:val="auto"/>
        <w:rPr>
          <w:rFonts w:hint="eastAsia" w:ascii="宋体" w:hAnsi="宋体" w:eastAsia="宋体" w:cs="宋体"/>
          <w:b/>
          <w:bCs/>
          <w:color w:val="auto"/>
          <w:sz w:val="28"/>
          <w:szCs w:val="28"/>
          <w:lang w:val="en-US" w:eastAsia="zh-CN"/>
        </w:rPr>
      </w:pPr>
      <w:r>
        <w:rPr>
          <w:rFonts w:hint="eastAsia" w:ascii="宋体" w:hAnsi="宋体" w:eastAsia="宋体" w:cs="宋体"/>
          <w:b/>
          <w:bCs/>
          <w:color w:val="auto"/>
          <w:sz w:val="28"/>
          <w:szCs w:val="28"/>
          <w:lang w:val="en-US" w:eastAsia="zh-CN"/>
        </w:rPr>
        <w:t>五、校级答辩的准备和程序</w:t>
      </w:r>
    </w:p>
    <w:p>
      <w:pPr>
        <w:keepNext w:val="0"/>
        <w:keepLines w:val="0"/>
        <w:pageBreakBefore w:val="0"/>
        <w:kinsoku/>
        <w:overflowPunct/>
        <w:topLinePunct w:val="0"/>
        <w:autoSpaceDE/>
        <w:autoSpaceDN/>
        <w:bidi w:val="0"/>
        <w:spacing w:line="580" w:lineRule="exact"/>
        <w:ind w:left="0" w:firstLine="700" w:firstLineChars="250"/>
        <w:textAlignment w:val="auto"/>
        <w:rPr>
          <w:rFonts w:hint="eastAsia" w:ascii="宋体" w:hAnsi="宋体" w:eastAsia="宋体" w:cs="宋体"/>
          <w:color w:val="auto"/>
          <w:sz w:val="28"/>
          <w:szCs w:val="28"/>
          <w:lang w:eastAsia="zh-CN"/>
        </w:rPr>
      </w:pPr>
      <w:r>
        <w:rPr>
          <w:rFonts w:hint="eastAsia" w:ascii="宋体" w:hAnsi="宋体" w:eastAsia="宋体" w:cs="宋体"/>
          <w:color w:val="auto"/>
          <w:sz w:val="28"/>
          <w:szCs w:val="28"/>
          <w:lang w:val="en-US" w:eastAsia="zh-CN"/>
        </w:rPr>
        <w:t>1.</w:t>
      </w:r>
      <w:r>
        <w:rPr>
          <w:rFonts w:hint="eastAsia" w:ascii="宋体" w:hAnsi="宋体" w:eastAsia="宋体" w:cs="宋体"/>
          <w:color w:val="auto"/>
          <w:sz w:val="28"/>
          <w:szCs w:val="28"/>
        </w:rPr>
        <w:t>学生答辩</w:t>
      </w:r>
      <w:r>
        <w:rPr>
          <w:rFonts w:hint="eastAsia" w:ascii="宋体" w:hAnsi="宋体" w:eastAsia="宋体" w:cs="宋体"/>
          <w:color w:val="auto"/>
          <w:sz w:val="28"/>
          <w:szCs w:val="28"/>
          <w:lang w:val="en-US" w:eastAsia="zh-CN"/>
        </w:rPr>
        <w:t>准备</w:t>
      </w:r>
    </w:p>
    <w:p>
      <w:pPr>
        <w:keepNext w:val="0"/>
        <w:keepLines w:val="0"/>
        <w:pageBreakBefore w:val="0"/>
        <w:kinsoku/>
        <w:overflowPunct/>
        <w:topLinePunct w:val="0"/>
        <w:autoSpaceDE/>
        <w:autoSpaceDN/>
        <w:bidi w:val="0"/>
        <w:spacing w:line="580" w:lineRule="exact"/>
        <w:ind w:left="0" w:firstLine="560" w:firstLineChars="200"/>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（1）答辩学生制作论文（设计）答辩ppt，在规定时间到相应的答辩会场拷贝</w:t>
      </w:r>
      <w:r>
        <w:rPr>
          <w:rFonts w:hint="eastAsia" w:ascii="宋体" w:hAnsi="宋体" w:eastAsia="宋体" w:cs="宋体"/>
          <w:color w:val="auto"/>
          <w:sz w:val="28"/>
          <w:szCs w:val="28"/>
          <w:lang w:val="en-US" w:eastAsia="zh-CN"/>
        </w:rPr>
        <w:t>和</w:t>
      </w:r>
      <w:r>
        <w:rPr>
          <w:rFonts w:hint="eastAsia" w:ascii="宋体" w:hAnsi="宋体" w:eastAsia="宋体" w:cs="宋体"/>
          <w:color w:val="auto"/>
          <w:sz w:val="28"/>
          <w:szCs w:val="28"/>
        </w:rPr>
        <w:t>调试，并安装好</w:t>
      </w:r>
      <w:r>
        <w:rPr>
          <w:rFonts w:hint="eastAsia" w:ascii="宋体" w:hAnsi="宋体" w:eastAsia="宋体" w:cs="宋体"/>
          <w:color w:val="auto"/>
          <w:sz w:val="28"/>
          <w:szCs w:val="28"/>
          <w:lang w:val="en-US" w:eastAsia="zh-CN"/>
        </w:rPr>
        <w:t>所需</w:t>
      </w:r>
      <w:r>
        <w:rPr>
          <w:rFonts w:hint="eastAsia" w:ascii="宋体" w:hAnsi="宋体" w:eastAsia="宋体" w:cs="宋体"/>
          <w:color w:val="auto"/>
          <w:sz w:val="28"/>
          <w:szCs w:val="28"/>
        </w:rPr>
        <w:t>软件。</w:t>
      </w:r>
    </w:p>
    <w:p>
      <w:pPr>
        <w:keepNext w:val="0"/>
        <w:keepLines w:val="0"/>
        <w:pageBreakBefore w:val="0"/>
        <w:widowControl/>
        <w:kinsoku/>
        <w:overflowPunct/>
        <w:topLinePunct w:val="0"/>
        <w:autoSpaceDE/>
        <w:autoSpaceDN/>
        <w:bidi w:val="0"/>
        <w:adjustRightInd w:val="0"/>
        <w:snapToGrid w:val="0"/>
        <w:spacing w:line="580" w:lineRule="exact"/>
        <w:ind w:left="0" w:firstLine="560" w:firstLineChars="200"/>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2）参加校级答辩全体同学按要求到指定的答辩地点集合、签到，按规定的答辩顺序进行答辩。要求答辩学生与指导教师必须按时到场，全程参加校级答辩，答辩现场不允许其它任何人员干扰学生正常答辩，如有故意干扰行为，将交由学校纪委严肃处理。</w:t>
      </w:r>
    </w:p>
    <w:p>
      <w:pPr>
        <w:keepNext w:val="0"/>
        <w:keepLines w:val="0"/>
        <w:pageBreakBefore w:val="0"/>
        <w:kinsoku/>
        <w:overflowPunct/>
        <w:topLinePunct w:val="0"/>
        <w:autoSpaceDE/>
        <w:autoSpaceDN/>
        <w:bidi w:val="0"/>
        <w:spacing w:line="580" w:lineRule="exact"/>
        <w:ind w:left="0" w:firstLine="560" w:firstLineChars="200"/>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（3）答辩时，学生通过播放ppt文档，阐述论文基本思想和主要内容。陈述时间控制在8分钟</w:t>
      </w:r>
      <w:r>
        <w:rPr>
          <w:rFonts w:hint="eastAsia" w:ascii="宋体" w:hAnsi="宋体" w:eastAsia="宋体" w:cs="宋体"/>
          <w:color w:val="auto"/>
          <w:sz w:val="28"/>
          <w:szCs w:val="28"/>
          <w:lang w:val="en-US" w:eastAsia="zh-CN"/>
        </w:rPr>
        <w:t>以内</w:t>
      </w:r>
      <w:r>
        <w:rPr>
          <w:rFonts w:hint="eastAsia" w:ascii="宋体" w:hAnsi="宋体" w:eastAsia="宋体" w:cs="宋体"/>
          <w:color w:val="auto"/>
          <w:sz w:val="28"/>
          <w:szCs w:val="28"/>
        </w:rPr>
        <w:t>,有设计成果的须现场演示。陈述结束后，学生当场接受答辩老师的提问并即时回答。答辩老师提问时间为5-8分钟，学生回答应认真、准确、简洁。</w:t>
      </w:r>
    </w:p>
    <w:p>
      <w:pPr>
        <w:keepNext w:val="0"/>
        <w:keepLines w:val="0"/>
        <w:pageBreakBefore w:val="0"/>
        <w:kinsoku/>
        <w:overflowPunct/>
        <w:topLinePunct w:val="0"/>
        <w:autoSpaceDE/>
        <w:autoSpaceDN/>
        <w:bidi w:val="0"/>
        <w:spacing w:line="580" w:lineRule="exact"/>
        <w:ind w:left="0" w:firstLine="560" w:firstLineChars="200"/>
        <w:textAlignment w:val="auto"/>
        <w:rPr>
          <w:rFonts w:hint="eastAsia" w:ascii="宋体" w:hAnsi="宋体" w:eastAsia="宋体" w:cs="宋体"/>
          <w:color w:val="auto"/>
          <w:sz w:val="28"/>
          <w:szCs w:val="28"/>
        </w:rPr>
      </w:pPr>
      <w:r>
        <w:rPr>
          <w:rFonts w:hint="eastAsia" w:ascii="宋体" w:hAnsi="宋体" w:eastAsia="宋体" w:cs="宋体"/>
          <w:color w:val="auto"/>
          <w:sz w:val="28"/>
          <w:szCs w:val="28"/>
          <w:lang w:val="en-US" w:eastAsia="zh-CN"/>
        </w:rPr>
        <w:t>2.</w:t>
      </w:r>
      <w:r>
        <w:rPr>
          <w:rFonts w:hint="eastAsia" w:ascii="宋体" w:hAnsi="宋体" w:eastAsia="宋体" w:cs="宋体"/>
          <w:color w:val="auto"/>
          <w:sz w:val="28"/>
          <w:szCs w:val="28"/>
        </w:rPr>
        <w:t>答辩程序</w:t>
      </w:r>
    </w:p>
    <w:p>
      <w:pPr>
        <w:keepNext w:val="0"/>
        <w:keepLines w:val="0"/>
        <w:pageBreakBefore w:val="0"/>
        <w:kinsoku/>
        <w:overflowPunct/>
        <w:topLinePunct w:val="0"/>
        <w:autoSpaceDE/>
        <w:autoSpaceDN/>
        <w:bidi w:val="0"/>
        <w:spacing w:line="580" w:lineRule="exact"/>
        <w:ind w:firstLine="560" w:firstLineChars="200"/>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（1）答辩组长宣布答辩学生姓名和论文题目，同时宣布下一位答辩学生的姓名，让其作好答辩准备；</w:t>
      </w:r>
    </w:p>
    <w:p>
      <w:pPr>
        <w:keepNext w:val="0"/>
        <w:keepLines w:val="0"/>
        <w:pageBreakBefore w:val="0"/>
        <w:kinsoku/>
        <w:overflowPunct/>
        <w:topLinePunct w:val="0"/>
        <w:autoSpaceDE/>
        <w:autoSpaceDN/>
        <w:bidi w:val="0"/>
        <w:spacing w:line="580" w:lineRule="exact"/>
        <w:ind w:firstLine="560" w:firstLineChars="200"/>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（2）学生作自我介绍；</w:t>
      </w:r>
    </w:p>
    <w:p>
      <w:pPr>
        <w:keepNext w:val="0"/>
        <w:keepLines w:val="0"/>
        <w:pageBreakBefore w:val="0"/>
        <w:kinsoku/>
        <w:overflowPunct/>
        <w:topLinePunct w:val="0"/>
        <w:autoSpaceDE/>
        <w:autoSpaceDN/>
        <w:bidi w:val="0"/>
        <w:spacing w:line="580" w:lineRule="exact"/>
        <w:ind w:firstLine="560" w:firstLineChars="200"/>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（3）学生作5-8分钟的毕业论文自述报告(框架结构、论文的主要内容、论文的研究方法和手段、论文的创新之处、自己在论文中所做的主要工作等)；</w:t>
      </w:r>
    </w:p>
    <w:p>
      <w:pPr>
        <w:keepNext w:val="0"/>
        <w:keepLines w:val="0"/>
        <w:pageBreakBefore w:val="0"/>
        <w:kinsoku/>
        <w:overflowPunct/>
        <w:topLinePunct w:val="0"/>
        <w:autoSpaceDE/>
        <w:autoSpaceDN/>
        <w:bidi w:val="0"/>
        <w:spacing w:line="580" w:lineRule="exact"/>
        <w:ind w:firstLine="560" w:firstLineChars="200"/>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（4）答辩老师针对学生的毕业论文</w:t>
      </w:r>
      <w:r>
        <w:rPr>
          <w:rFonts w:hint="eastAsia" w:ascii="宋体" w:hAnsi="宋体" w:eastAsia="宋体" w:cs="宋体"/>
          <w:color w:val="auto"/>
          <w:sz w:val="28"/>
          <w:szCs w:val="28"/>
          <w:lang w:eastAsia="zh-CN"/>
        </w:rPr>
        <w:t>（</w:t>
      </w:r>
      <w:r>
        <w:rPr>
          <w:rFonts w:hint="eastAsia" w:ascii="宋体" w:hAnsi="宋体" w:eastAsia="宋体" w:cs="宋体"/>
          <w:color w:val="auto"/>
          <w:sz w:val="28"/>
          <w:szCs w:val="28"/>
          <w:lang w:val="en-US" w:eastAsia="zh-CN"/>
        </w:rPr>
        <w:t>设计</w:t>
      </w:r>
      <w:r>
        <w:rPr>
          <w:rFonts w:hint="eastAsia" w:ascii="宋体" w:hAnsi="宋体" w:eastAsia="宋体" w:cs="宋体"/>
          <w:color w:val="auto"/>
          <w:sz w:val="28"/>
          <w:szCs w:val="28"/>
          <w:lang w:eastAsia="zh-CN"/>
        </w:rPr>
        <w:t>）</w:t>
      </w:r>
      <w:r>
        <w:rPr>
          <w:rFonts w:hint="eastAsia" w:ascii="宋体" w:hAnsi="宋体" w:eastAsia="宋体" w:cs="宋体"/>
          <w:color w:val="auto"/>
          <w:sz w:val="28"/>
          <w:szCs w:val="28"/>
        </w:rPr>
        <w:t xml:space="preserve">提问，学生现场直接回答(5-8分钟)； </w:t>
      </w:r>
    </w:p>
    <w:p>
      <w:pPr>
        <w:keepNext w:val="0"/>
        <w:keepLines w:val="0"/>
        <w:pageBreakBefore w:val="0"/>
        <w:kinsoku/>
        <w:overflowPunct/>
        <w:topLinePunct w:val="0"/>
        <w:autoSpaceDE/>
        <w:autoSpaceDN/>
        <w:bidi w:val="0"/>
        <w:spacing w:line="580" w:lineRule="exact"/>
        <w:ind w:firstLine="560" w:firstLineChars="200"/>
        <w:textAlignment w:val="auto"/>
        <w:rPr>
          <w:rFonts w:hint="eastAsia" w:ascii="宋体" w:hAnsi="宋体" w:eastAsia="宋体" w:cs="宋体"/>
          <w:color w:val="auto"/>
          <w:sz w:val="28"/>
          <w:szCs w:val="28"/>
          <w:lang w:val="en-US"/>
        </w:rPr>
      </w:pPr>
      <w:r>
        <w:rPr>
          <w:rFonts w:hint="eastAsia" w:ascii="宋体" w:hAnsi="宋体" w:eastAsia="宋体" w:cs="宋体"/>
          <w:color w:val="auto"/>
          <w:sz w:val="28"/>
          <w:szCs w:val="28"/>
        </w:rPr>
        <w:t>（</w:t>
      </w:r>
      <w:r>
        <w:rPr>
          <w:rFonts w:hint="eastAsia" w:ascii="宋体" w:hAnsi="宋体" w:eastAsia="宋体" w:cs="宋体"/>
          <w:color w:val="auto"/>
          <w:sz w:val="28"/>
          <w:szCs w:val="28"/>
          <w:lang w:val="en-US" w:eastAsia="zh-CN"/>
        </w:rPr>
        <w:t>5</w:t>
      </w:r>
      <w:r>
        <w:rPr>
          <w:rFonts w:hint="eastAsia" w:ascii="宋体" w:hAnsi="宋体" w:eastAsia="宋体" w:cs="宋体"/>
          <w:color w:val="auto"/>
          <w:sz w:val="28"/>
          <w:szCs w:val="28"/>
        </w:rPr>
        <w:t>）</w:t>
      </w:r>
      <w:r>
        <w:rPr>
          <w:rFonts w:hint="eastAsia" w:ascii="宋体" w:hAnsi="宋体" w:eastAsia="宋体" w:cs="宋体"/>
          <w:color w:val="auto"/>
          <w:sz w:val="28"/>
          <w:szCs w:val="28"/>
          <w:lang w:val="en-US" w:eastAsia="zh-CN"/>
        </w:rPr>
        <w:t>答辩小组秘书如实记录答辩学生答辩过程内容；</w:t>
      </w:r>
    </w:p>
    <w:p>
      <w:pPr>
        <w:keepNext w:val="0"/>
        <w:keepLines w:val="0"/>
        <w:pageBreakBefore w:val="0"/>
        <w:kinsoku/>
        <w:overflowPunct/>
        <w:topLinePunct w:val="0"/>
        <w:autoSpaceDE/>
        <w:autoSpaceDN/>
        <w:bidi w:val="0"/>
        <w:spacing w:line="580" w:lineRule="exact"/>
        <w:ind w:firstLine="560" w:firstLineChars="200"/>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w:t>
      </w:r>
      <w:r>
        <w:rPr>
          <w:rFonts w:hint="eastAsia" w:ascii="宋体" w:hAnsi="宋体" w:eastAsia="宋体" w:cs="宋体"/>
          <w:color w:val="auto"/>
          <w:sz w:val="28"/>
          <w:szCs w:val="28"/>
          <w:lang w:val="en-US" w:eastAsia="zh-CN"/>
        </w:rPr>
        <w:t>6</w:t>
      </w:r>
      <w:r>
        <w:rPr>
          <w:rFonts w:hint="eastAsia" w:ascii="宋体" w:hAnsi="宋体" w:eastAsia="宋体" w:cs="宋体"/>
          <w:color w:val="auto"/>
          <w:sz w:val="28"/>
          <w:szCs w:val="28"/>
        </w:rPr>
        <w:t>）所有学生答辩结束，学生及指导老师离场，答辩小组</w:t>
      </w:r>
      <w:r>
        <w:rPr>
          <w:rFonts w:hint="eastAsia" w:ascii="宋体" w:hAnsi="宋体" w:eastAsia="宋体" w:cs="宋体"/>
          <w:color w:val="auto"/>
          <w:sz w:val="28"/>
          <w:szCs w:val="28"/>
          <w:lang w:val="en-US" w:eastAsia="zh-CN"/>
        </w:rPr>
        <w:t>进行</w:t>
      </w:r>
      <w:r>
        <w:rPr>
          <w:rFonts w:hint="eastAsia" w:ascii="宋体" w:hAnsi="宋体" w:eastAsia="宋体" w:cs="宋体"/>
          <w:color w:val="auto"/>
          <w:sz w:val="28"/>
          <w:szCs w:val="28"/>
        </w:rPr>
        <w:t>合议</w:t>
      </w:r>
      <w:r>
        <w:rPr>
          <w:rFonts w:hint="eastAsia" w:ascii="宋体" w:hAnsi="宋体" w:eastAsia="宋体" w:cs="宋体"/>
          <w:color w:val="auto"/>
          <w:sz w:val="28"/>
          <w:szCs w:val="28"/>
          <w:lang w:eastAsia="zh-CN"/>
        </w:rPr>
        <w:t>，</w:t>
      </w:r>
      <w:r>
        <w:rPr>
          <w:rFonts w:hint="eastAsia" w:ascii="宋体" w:hAnsi="宋体" w:eastAsia="宋体" w:cs="宋体"/>
          <w:color w:val="auto"/>
          <w:sz w:val="28"/>
          <w:szCs w:val="28"/>
          <w:lang w:val="en-US" w:eastAsia="zh-CN"/>
        </w:rPr>
        <w:t>并根据合议结果评定和签署答辩意见</w:t>
      </w:r>
      <w:r>
        <w:rPr>
          <w:rFonts w:hint="eastAsia" w:ascii="宋体" w:hAnsi="宋体" w:eastAsia="宋体" w:cs="宋体"/>
          <w:color w:val="auto"/>
          <w:sz w:val="28"/>
          <w:szCs w:val="28"/>
        </w:rPr>
        <w:t xml:space="preserve">。 </w:t>
      </w:r>
    </w:p>
    <w:p>
      <w:pPr>
        <w:keepNext w:val="0"/>
        <w:keepLines w:val="0"/>
        <w:pageBreakBefore w:val="0"/>
        <w:kinsoku/>
        <w:overflowPunct/>
        <w:topLinePunct w:val="0"/>
        <w:autoSpaceDE/>
        <w:autoSpaceDN/>
        <w:bidi w:val="0"/>
        <w:spacing w:line="580" w:lineRule="exact"/>
        <w:ind w:left="0" w:firstLine="584" w:firstLineChars="200"/>
        <w:textAlignment w:val="auto"/>
        <w:rPr>
          <w:rFonts w:hint="eastAsia" w:ascii="宋体" w:hAnsi="宋体" w:eastAsia="宋体" w:cs="宋体"/>
          <w:color w:val="auto"/>
          <w:sz w:val="28"/>
          <w:szCs w:val="28"/>
        </w:rPr>
      </w:pPr>
      <w:r>
        <w:rPr>
          <w:rFonts w:hint="eastAsia" w:ascii="宋体" w:hAnsi="宋体" w:eastAsia="宋体" w:cs="宋体"/>
          <w:color w:val="auto"/>
          <w:spacing w:val="6"/>
          <w:kern w:val="0"/>
          <w:sz w:val="28"/>
          <w:szCs w:val="28"/>
          <w:lang w:val="en-US" w:eastAsia="zh-CN"/>
        </w:rPr>
        <w:t>3.</w:t>
      </w:r>
      <w:r>
        <w:rPr>
          <w:rFonts w:hint="eastAsia" w:ascii="宋体" w:hAnsi="宋体" w:eastAsia="宋体" w:cs="宋体"/>
          <w:color w:val="auto"/>
          <w:sz w:val="28"/>
          <w:szCs w:val="28"/>
        </w:rPr>
        <w:t>成绩评定</w:t>
      </w:r>
    </w:p>
    <w:p>
      <w:pPr>
        <w:keepNext w:val="0"/>
        <w:keepLines w:val="0"/>
        <w:pageBreakBefore w:val="0"/>
        <w:kinsoku/>
        <w:overflowPunct/>
        <w:topLinePunct w:val="0"/>
        <w:autoSpaceDE/>
        <w:autoSpaceDN/>
        <w:bidi w:val="0"/>
        <w:spacing w:line="580" w:lineRule="exact"/>
        <w:ind w:left="0" w:firstLine="560" w:firstLineChars="200"/>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校级答辩成绩评定等级分优秀、良好、中等、及格、不及格5个等级。</w:t>
      </w:r>
    </w:p>
    <w:p>
      <w:pPr>
        <w:keepNext w:val="0"/>
        <w:keepLines w:val="0"/>
        <w:pageBreakBefore w:val="0"/>
        <w:kinsoku/>
        <w:overflowPunct/>
        <w:topLinePunct w:val="0"/>
        <w:autoSpaceDE/>
        <w:autoSpaceDN/>
        <w:bidi w:val="0"/>
        <w:spacing w:line="580" w:lineRule="exact"/>
        <w:ind w:left="0" w:firstLine="560" w:firstLineChars="200"/>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校级答辩的成绩评定标准根据《湖南科技学院本科毕业论文（设计）工作管理条例》</w:t>
      </w:r>
      <w:r>
        <w:rPr>
          <w:rFonts w:hint="eastAsia" w:ascii="宋体" w:hAnsi="宋体" w:eastAsia="宋体" w:cs="宋体"/>
          <w:color w:val="auto"/>
          <w:sz w:val="28"/>
          <w:szCs w:val="28"/>
          <w:lang w:val="en-US" w:eastAsia="zh-CN"/>
        </w:rPr>
        <w:t>（湘科院教发【2018】60号）</w:t>
      </w:r>
      <w:r>
        <w:rPr>
          <w:rFonts w:hint="eastAsia" w:ascii="宋体" w:hAnsi="宋体" w:eastAsia="宋体" w:cs="宋体"/>
          <w:color w:val="auto"/>
          <w:sz w:val="28"/>
          <w:szCs w:val="28"/>
        </w:rPr>
        <w:t>统一把握，参加校级答辩</w:t>
      </w:r>
      <w:r>
        <w:rPr>
          <w:rFonts w:hint="eastAsia" w:ascii="宋体" w:hAnsi="宋体" w:eastAsia="宋体" w:cs="宋体"/>
          <w:color w:val="auto"/>
          <w:sz w:val="28"/>
          <w:szCs w:val="28"/>
          <w:lang w:val="en-US" w:eastAsia="zh-CN"/>
        </w:rPr>
        <w:t>学生</w:t>
      </w:r>
      <w:r>
        <w:rPr>
          <w:rFonts w:hint="eastAsia" w:ascii="宋体" w:hAnsi="宋体" w:eastAsia="宋体" w:cs="宋体"/>
          <w:color w:val="auto"/>
          <w:sz w:val="28"/>
          <w:szCs w:val="28"/>
        </w:rPr>
        <w:t>的毕业论文</w:t>
      </w:r>
      <w:r>
        <w:rPr>
          <w:rFonts w:hint="eastAsia" w:ascii="宋体" w:hAnsi="宋体" w:eastAsia="宋体" w:cs="宋体"/>
          <w:color w:val="auto"/>
          <w:sz w:val="28"/>
          <w:szCs w:val="28"/>
          <w:lang w:eastAsia="zh-CN"/>
        </w:rPr>
        <w:t>（</w:t>
      </w:r>
      <w:r>
        <w:rPr>
          <w:rFonts w:hint="eastAsia" w:ascii="宋体" w:hAnsi="宋体" w:eastAsia="宋体" w:cs="宋体"/>
          <w:color w:val="auto"/>
          <w:sz w:val="28"/>
          <w:szCs w:val="28"/>
          <w:lang w:val="en-US" w:eastAsia="zh-CN"/>
        </w:rPr>
        <w:t>设计</w:t>
      </w:r>
      <w:r>
        <w:rPr>
          <w:rFonts w:hint="eastAsia" w:ascii="宋体" w:hAnsi="宋体" w:eastAsia="宋体" w:cs="宋体"/>
          <w:color w:val="auto"/>
          <w:sz w:val="28"/>
          <w:szCs w:val="28"/>
          <w:lang w:eastAsia="zh-CN"/>
        </w:rPr>
        <w:t>）</w:t>
      </w:r>
      <w:r>
        <w:rPr>
          <w:rFonts w:hint="eastAsia" w:ascii="宋体" w:hAnsi="宋体" w:eastAsia="宋体" w:cs="宋体"/>
          <w:color w:val="auto"/>
          <w:sz w:val="28"/>
          <w:szCs w:val="28"/>
        </w:rPr>
        <w:t>最终成绩以校级答辩成绩为准。</w:t>
      </w:r>
    </w:p>
    <w:p>
      <w:pPr>
        <w:keepNext w:val="0"/>
        <w:keepLines w:val="0"/>
        <w:pageBreakBefore w:val="0"/>
        <w:kinsoku/>
        <w:overflowPunct/>
        <w:topLinePunct w:val="0"/>
        <w:autoSpaceDE/>
        <w:autoSpaceDN/>
        <w:bidi w:val="0"/>
        <w:spacing w:line="580" w:lineRule="exact"/>
        <w:ind w:left="0" w:firstLine="560"/>
        <w:textAlignment w:val="auto"/>
        <w:rPr>
          <w:rFonts w:hint="eastAsia" w:ascii="宋体" w:hAnsi="宋体" w:eastAsia="宋体" w:cs="宋体"/>
          <w:color w:val="auto"/>
          <w:sz w:val="28"/>
          <w:szCs w:val="28"/>
          <w:lang w:eastAsia="zh-CN"/>
        </w:rPr>
      </w:pPr>
      <w:r>
        <w:rPr>
          <w:rFonts w:hint="eastAsia" w:ascii="宋体" w:hAnsi="宋体" w:eastAsia="宋体" w:cs="宋体"/>
          <w:color w:val="auto"/>
          <w:sz w:val="28"/>
          <w:szCs w:val="28"/>
        </w:rPr>
        <w:t>本次校级答辩后，各答辩组老师对专业论文质量及答辩情况进行认真评议，形成结论和评定等级，并于答辩结束三日后予以公布</w:t>
      </w:r>
      <w:r>
        <w:rPr>
          <w:rFonts w:hint="eastAsia" w:ascii="宋体" w:hAnsi="宋体" w:eastAsia="宋体" w:cs="宋体"/>
          <w:color w:val="auto"/>
          <w:sz w:val="28"/>
          <w:szCs w:val="28"/>
          <w:lang w:eastAsia="zh-CN"/>
        </w:rPr>
        <w:t>。</w:t>
      </w:r>
    </w:p>
    <w:p>
      <w:pPr>
        <w:keepNext w:val="0"/>
        <w:keepLines w:val="0"/>
        <w:pageBreakBefore w:val="0"/>
        <w:numPr>
          <w:ilvl w:val="0"/>
          <w:numId w:val="0"/>
        </w:numPr>
        <w:kinsoku/>
        <w:overflowPunct/>
        <w:topLinePunct w:val="0"/>
        <w:autoSpaceDE/>
        <w:autoSpaceDN/>
        <w:bidi w:val="0"/>
        <w:spacing w:line="580" w:lineRule="exact"/>
        <w:ind w:left="0" w:firstLine="562" w:firstLineChars="200"/>
        <w:textAlignment w:val="auto"/>
        <w:rPr>
          <w:rFonts w:hint="eastAsia" w:ascii="宋体" w:hAnsi="宋体" w:eastAsia="宋体" w:cs="宋体"/>
          <w:b/>
          <w:bCs/>
          <w:color w:val="auto"/>
          <w:sz w:val="28"/>
          <w:szCs w:val="28"/>
          <w:lang w:val="en-US" w:eastAsia="zh-CN"/>
        </w:rPr>
      </w:pPr>
      <w:r>
        <w:rPr>
          <w:rFonts w:hint="eastAsia" w:ascii="宋体" w:hAnsi="宋体" w:eastAsia="宋体" w:cs="宋体"/>
          <w:b/>
          <w:bCs/>
          <w:color w:val="auto"/>
          <w:sz w:val="28"/>
          <w:szCs w:val="28"/>
          <w:lang w:val="en-US" w:eastAsia="zh-CN"/>
        </w:rPr>
        <w:t>六、结果使用</w:t>
      </w:r>
    </w:p>
    <w:p>
      <w:pPr>
        <w:keepNext w:val="0"/>
        <w:keepLines w:val="0"/>
        <w:pageBreakBefore w:val="0"/>
        <w:widowControl/>
        <w:kinsoku/>
        <w:wordWrap w:val="0"/>
        <w:overflowPunct/>
        <w:topLinePunct w:val="0"/>
        <w:autoSpaceDE/>
        <w:autoSpaceDN/>
        <w:bidi w:val="0"/>
        <w:adjustRightInd w:val="0"/>
        <w:snapToGrid w:val="0"/>
        <w:spacing w:line="580" w:lineRule="exact"/>
        <w:ind w:left="0" w:firstLine="560" w:firstLineChars="200"/>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1.教学学院</w:t>
      </w:r>
    </w:p>
    <w:p>
      <w:pPr>
        <w:keepNext w:val="0"/>
        <w:keepLines w:val="0"/>
        <w:pageBreakBefore w:val="0"/>
        <w:widowControl/>
        <w:kinsoku/>
        <w:wordWrap w:val="0"/>
        <w:overflowPunct/>
        <w:topLinePunct w:val="0"/>
        <w:autoSpaceDE/>
        <w:autoSpaceDN/>
        <w:bidi w:val="0"/>
        <w:adjustRightInd w:val="0"/>
        <w:snapToGrid w:val="0"/>
        <w:spacing w:line="580" w:lineRule="exact"/>
        <w:ind w:left="0" w:firstLine="560" w:firstLineChars="200"/>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（1）对抽检结果不合格和校级答辩不通过的毕业生达本专业抽检人数30%的专业，学校将对专业负责人进行质量约谈，提出限期整改要求；达50%及以上的，对学院负责人进行质量约谈，提出限期整改要求。</w:t>
      </w:r>
    </w:p>
    <w:p>
      <w:pPr>
        <w:keepNext w:val="0"/>
        <w:keepLines w:val="0"/>
        <w:pageBreakBefore w:val="0"/>
        <w:widowControl/>
        <w:kinsoku/>
        <w:wordWrap w:val="0"/>
        <w:overflowPunct/>
        <w:topLinePunct w:val="0"/>
        <w:autoSpaceDE/>
        <w:autoSpaceDN/>
        <w:bidi w:val="0"/>
        <w:adjustRightInd w:val="0"/>
        <w:snapToGrid w:val="0"/>
        <w:spacing w:line="580" w:lineRule="exact"/>
        <w:ind w:left="0" w:firstLine="560" w:firstLineChars="200"/>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（2）对连续 2年出现抽检论文（设计）不合格和校级答辩不通过，且比例较高或篇数较多的学院，学校将在校内予以通报，建议招生就业处减少其招生计划，并对学院负责人进行质量约谈，提出限期整改要求，并依据有关规定予以追责。</w:t>
      </w:r>
    </w:p>
    <w:p>
      <w:pPr>
        <w:keepNext w:val="0"/>
        <w:keepLines w:val="0"/>
        <w:pageBreakBefore w:val="0"/>
        <w:widowControl/>
        <w:kinsoku/>
        <w:wordWrap w:val="0"/>
        <w:overflowPunct/>
        <w:topLinePunct w:val="0"/>
        <w:autoSpaceDE/>
        <w:autoSpaceDN/>
        <w:bidi w:val="0"/>
        <w:adjustRightInd w:val="0"/>
        <w:snapToGrid w:val="0"/>
        <w:spacing w:line="580" w:lineRule="exact"/>
        <w:ind w:left="0" w:firstLine="560" w:firstLineChars="200"/>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（3）本次抽检和校级答辩结果纳入教学学院年度目标管理考核。</w:t>
      </w:r>
    </w:p>
    <w:p>
      <w:pPr>
        <w:keepNext w:val="0"/>
        <w:keepLines w:val="0"/>
        <w:pageBreakBefore w:val="0"/>
        <w:numPr>
          <w:ilvl w:val="0"/>
          <w:numId w:val="0"/>
        </w:numPr>
        <w:kinsoku/>
        <w:overflowPunct/>
        <w:topLinePunct w:val="0"/>
        <w:autoSpaceDE/>
        <w:autoSpaceDN/>
        <w:bidi w:val="0"/>
        <w:spacing w:line="580" w:lineRule="exact"/>
        <w:ind w:left="0" w:firstLine="560" w:firstLineChars="200"/>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2.指导老师</w:t>
      </w:r>
    </w:p>
    <w:p>
      <w:pPr>
        <w:keepNext w:val="0"/>
        <w:keepLines w:val="0"/>
        <w:pageBreakBefore w:val="0"/>
        <w:numPr>
          <w:ilvl w:val="0"/>
          <w:numId w:val="0"/>
        </w:numPr>
        <w:kinsoku/>
        <w:overflowPunct/>
        <w:topLinePunct w:val="0"/>
        <w:autoSpaceDE/>
        <w:autoSpaceDN/>
        <w:bidi w:val="0"/>
        <w:spacing w:line="580" w:lineRule="exact"/>
        <w:ind w:left="0" w:firstLine="560" w:firstLineChars="200"/>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1）对抽检不合格或校级答辩不通过达1人次的指导老师，由学院对其进行指导质量约谈，减少其指导毕业论文（设计）人数；达到2人次及以上的，学校将对指导老师在全校内予以通报，暂停其指导毕业论文（设计）资格，并进行调查和追责。</w:t>
      </w:r>
    </w:p>
    <w:p>
      <w:pPr>
        <w:keepNext w:val="0"/>
        <w:keepLines w:val="0"/>
        <w:pageBreakBefore w:val="0"/>
        <w:widowControl/>
        <w:kinsoku/>
        <w:wordWrap w:val="0"/>
        <w:overflowPunct/>
        <w:topLinePunct w:val="0"/>
        <w:autoSpaceDE/>
        <w:autoSpaceDN/>
        <w:bidi w:val="0"/>
        <w:adjustRightInd w:val="0"/>
        <w:snapToGrid w:val="0"/>
        <w:spacing w:line="580" w:lineRule="exact"/>
        <w:ind w:left="0" w:firstLine="560" w:firstLineChars="200"/>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（2）</w:t>
      </w:r>
      <w:r>
        <w:rPr>
          <w:rFonts w:hint="eastAsia" w:ascii="宋体" w:hAnsi="宋体" w:eastAsia="宋体" w:cs="宋体"/>
          <w:color w:val="auto"/>
          <w:spacing w:val="6"/>
          <w:kern w:val="0"/>
          <w:sz w:val="28"/>
          <w:szCs w:val="28"/>
          <w:lang w:val="en-US" w:eastAsia="zh-CN"/>
        </w:rPr>
        <w:t>所指导的学生参加校级答辩被评定为“优秀”等级的指导老师，直接评为校级</w:t>
      </w:r>
      <w:r>
        <w:rPr>
          <w:rFonts w:hint="eastAsia" w:ascii="宋体" w:hAnsi="宋体" w:eastAsia="宋体" w:cs="宋体"/>
          <w:color w:val="auto"/>
          <w:sz w:val="28"/>
          <w:szCs w:val="28"/>
          <w:lang w:val="en-US" w:eastAsia="zh-CN"/>
        </w:rPr>
        <w:t>优秀毕业论文（设计）指导老师。</w:t>
      </w:r>
    </w:p>
    <w:p>
      <w:pPr>
        <w:keepNext w:val="0"/>
        <w:keepLines w:val="0"/>
        <w:pageBreakBefore w:val="0"/>
        <w:numPr>
          <w:ilvl w:val="0"/>
          <w:numId w:val="0"/>
        </w:numPr>
        <w:kinsoku/>
        <w:overflowPunct/>
        <w:topLinePunct w:val="0"/>
        <w:autoSpaceDE/>
        <w:autoSpaceDN/>
        <w:bidi w:val="0"/>
        <w:spacing w:line="580" w:lineRule="exact"/>
        <w:ind w:left="0" w:firstLine="584" w:firstLineChars="200"/>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pacing w:val="6"/>
          <w:kern w:val="0"/>
          <w:sz w:val="28"/>
          <w:szCs w:val="28"/>
        </w:rPr>
        <w:t xml:space="preserve"> </w:t>
      </w:r>
      <w:r>
        <w:rPr>
          <w:rFonts w:hint="eastAsia" w:ascii="宋体" w:hAnsi="宋体" w:eastAsia="宋体" w:cs="宋体"/>
          <w:color w:val="auto"/>
          <w:sz w:val="28"/>
          <w:szCs w:val="28"/>
          <w:lang w:val="en-US" w:eastAsia="zh-CN"/>
        </w:rPr>
        <w:t>3.学生</w:t>
      </w:r>
    </w:p>
    <w:p>
      <w:pPr>
        <w:keepNext w:val="0"/>
        <w:keepLines w:val="0"/>
        <w:pageBreakBefore w:val="0"/>
        <w:widowControl/>
        <w:kinsoku/>
        <w:overflowPunct/>
        <w:topLinePunct w:val="0"/>
        <w:autoSpaceDE/>
        <w:autoSpaceDN/>
        <w:bidi w:val="0"/>
        <w:adjustRightInd w:val="0"/>
        <w:snapToGrid w:val="0"/>
        <w:spacing w:line="580" w:lineRule="exact"/>
        <w:ind w:left="0" w:firstLine="560" w:firstLineChars="200"/>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eastAsia="zh-CN"/>
        </w:rPr>
        <w:t>（</w:t>
      </w:r>
      <w:r>
        <w:rPr>
          <w:rFonts w:hint="eastAsia" w:ascii="宋体" w:hAnsi="宋体" w:eastAsia="宋体" w:cs="宋体"/>
          <w:color w:val="auto"/>
          <w:sz w:val="28"/>
          <w:szCs w:val="28"/>
          <w:lang w:val="en-US" w:eastAsia="zh-CN"/>
        </w:rPr>
        <w:t>1</w:t>
      </w:r>
      <w:r>
        <w:rPr>
          <w:rFonts w:hint="eastAsia" w:ascii="宋体" w:hAnsi="宋体" w:eastAsia="宋体" w:cs="宋体"/>
          <w:color w:val="auto"/>
          <w:sz w:val="28"/>
          <w:szCs w:val="28"/>
          <w:lang w:eastAsia="zh-CN"/>
        </w:rPr>
        <w:t>）</w:t>
      </w:r>
      <w:r>
        <w:rPr>
          <w:rFonts w:hint="eastAsia" w:ascii="宋体" w:hAnsi="宋体" w:eastAsia="宋体" w:cs="宋体"/>
          <w:color w:val="auto"/>
          <w:sz w:val="28"/>
          <w:szCs w:val="28"/>
          <w:lang w:val="en-US" w:eastAsia="zh-CN"/>
        </w:rPr>
        <w:t>毕业论文（设计）抽检结果为“不合格”的毕业生，不能参加答辩，毕业论文（设计）按答辩不通过处理。</w:t>
      </w:r>
    </w:p>
    <w:p>
      <w:pPr>
        <w:keepNext w:val="0"/>
        <w:keepLines w:val="0"/>
        <w:pageBreakBefore w:val="0"/>
        <w:numPr>
          <w:ilvl w:val="0"/>
          <w:numId w:val="0"/>
        </w:numPr>
        <w:kinsoku/>
        <w:overflowPunct/>
        <w:topLinePunct w:val="0"/>
        <w:autoSpaceDE/>
        <w:autoSpaceDN/>
        <w:bidi w:val="0"/>
        <w:spacing w:line="580" w:lineRule="exact"/>
        <w:ind w:left="0" w:firstLine="560" w:firstLineChars="200"/>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eastAsia="zh-CN"/>
        </w:rPr>
        <w:t>（</w:t>
      </w:r>
      <w:r>
        <w:rPr>
          <w:rFonts w:hint="eastAsia" w:ascii="宋体" w:hAnsi="宋体" w:eastAsia="宋体" w:cs="宋体"/>
          <w:color w:val="auto"/>
          <w:sz w:val="28"/>
          <w:szCs w:val="28"/>
          <w:lang w:val="en-US" w:eastAsia="zh-CN"/>
        </w:rPr>
        <w:t>2</w:t>
      </w:r>
      <w:r>
        <w:rPr>
          <w:rFonts w:hint="eastAsia" w:ascii="宋体" w:hAnsi="宋体" w:eastAsia="宋体" w:cs="宋体"/>
          <w:color w:val="auto"/>
          <w:sz w:val="28"/>
          <w:szCs w:val="28"/>
          <w:lang w:eastAsia="zh-CN"/>
        </w:rPr>
        <w:t>）</w:t>
      </w:r>
      <w:r>
        <w:rPr>
          <w:rFonts w:hint="eastAsia" w:ascii="宋体" w:hAnsi="宋体" w:eastAsia="宋体" w:cs="宋体"/>
          <w:color w:val="auto"/>
          <w:sz w:val="28"/>
          <w:szCs w:val="28"/>
          <w:lang w:val="en-US" w:eastAsia="zh-CN"/>
        </w:rPr>
        <w:t>参加</w:t>
      </w:r>
      <w:r>
        <w:rPr>
          <w:rFonts w:hint="eastAsia" w:ascii="宋体" w:hAnsi="宋体" w:eastAsia="宋体" w:cs="宋体"/>
          <w:color w:val="auto"/>
          <w:sz w:val="28"/>
          <w:szCs w:val="28"/>
        </w:rPr>
        <w:t>校级答辩</w:t>
      </w:r>
      <w:r>
        <w:rPr>
          <w:rFonts w:hint="eastAsia" w:ascii="宋体" w:hAnsi="宋体" w:eastAsia="宋体" w:cs="宋体"/>
          <w:color w:val="auto"/>
          <w:sz w:val="28"/>
          <w:szCs w:val="28"/>
          <w:lang w:val="en-US" w:eastAsia="zh-CN"/>
        </w:rPr>
        <w:t>不</w:t>
      </w:r>
      <w:r>
        <w:rPr>
          <w:rFonts w:hint="eastAsia" w:ascii="宋体" w:hAnsi="宋体" w:eastAsia="宋体" w:cs="宋体"/>
          <w:color w:val="auto"/>
          <w:sz w:val="28"/>
          <w:szCs w:val="28"/>
        </w:rPr>
        <w:t>通过者按学校有关规定予以暂缓毕业。</w:t>
      </w:r>
      <w:r>
        <w:rPr>
          <w:rFonts w:hint="eastAsia" w:ascii="宋体" w:hAnsi="宋体" w:eastAsia="宋体" w:cs="宋体"/>
          <w:color w:val="auto"/>
          <w:sz w:val="28"/>
          <w:szCs w:val="28"/>
          <w:lang w:val="en-US" w:eastAsia="zh-CN"/>
        </w:rPr>
        <w:t>答辩成绩被评定为“优秀”等级的，直接评为校级优秀毕业论文（设计）。</w:t>
      </w:r>
    </w:p>
    <w:p>
      <w:pPr>
        <w:keepNext w:val="0"/>
        <w:keepLines w:val="0"/>
        <w:pageBreakBefore w:val="0"/>
        <w:numPr>
          <w:ilvl w:val="0"/>
          <w:numId w:val="0"/>
        </w:numPr>
        <w:kinsoku/>
        <w:overflowPunct/>
        <w:topLinePunct w:val="0"/>
        <w:autoSpaceDE/>
        <w:autoSpaceDN/>
        <w:bidi w:val="0"/>
        <w:spacing w:line="580" w:lineRule="exact"/>
        <w:ind w:left="0" w:firstLine="560" w:firstLineChars="200"/>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eastAsia="zh-CN"/>
        </w:rPr>
        <w:t>（</w:t>
      </w:r>
      <w:r>
        <w:rPr>
          <w:rFonts w:hint="eastAsia" w:ascii="宋体" w:hAnsi="宋体" w:eastAsia="宋体" w:cs="宋体"/>
          <w:color w:val="auto"/>
          <w:sz w:val="28"/>
          <w:szCs w:val="28"/>
          <w:lang w:val="en-US" w:eastAsia="zh-CN"/>
        </w:rPr>
        <w:t>3</w:t>
      </w:r>
      <w:r>
        <w:rPr>
          <w:rFonts w:hint="eastAsia" w:ascii="宋体" w:hAnsi="宋体" w:eastAsia="宋体" w:cs="宋体"/>
          <w:color w:val="auto"/>
          <w:sz w:val="28"/>
          <w:szCs w:val="28"/>
          <w:lang w:eastAsia="zh-CN"/>
        </w:rPr>
        <w:t>）</w:t>
      </w:r>
      <w:r>
        <w:rPr>
          <w:rFonts w:hint="eastAsia" w:ascii="宋体" w:hAnsi="宋体" w:eastAsia="宋体" w:cs="宋体"/>
          <w:color w:val="auto"/>
          <w:sz w:val="28"/>
          <w:szCs w:val="28"/>
          <w:lang w:val="en-US" w:eastAsia="zh-CN"/>
        </w:rPr>
        <w:t>参加抽检和校级答辩的毕业论文（设计），涉嫌存在抄袭、剽窃、伪造、篡改、买卖、代写等学术不端行为的，按照《湖南科技学院本科毕业论文（设计）工作管理条例》（湘科院教发【2018】60号）规定处理。</w:t>
      </w:r>
    </w:p>
    <w:p>
      <w:pPr>
        <w:keepNext w:val="0"/>
        <w:keepLines w:val="0"/>
        <w:pageBreakBefore w:val="0"/>
        <w:widowControl/>
        <w:kinsoku/>
        <w:wordWrap w:val="0"/>
        <w:overflowPunct/>
        <w:topLinePunct w:val="0"/>
        <w:autoSpaceDE/>
        <w:autoSpaceDN/>
        <w:bidi w:val="0"/>
        <w:spacing w:line="580" w:lineRule="exact"/>
        <w:ind w:left="0"/>
        <w:jc w:val="left"/>
        <w:textAlignment w:val="auto"/>
        <w:rPr>
          <w:rFonts w:hint="eastAsia" w:ascii="宋体" w:hAnsi="宋体" w:eastAsia="宋体" w:cs="宋体"/>
          <w:color w:val="auto"/>
          <w:spacing w:val="6"/>
          <w:kern w:val="0"/>
          <w:sz w:val="28"/>
          <w:szCs w:val="28"/>
        </w:rPr>
      </w:pPr>
    </w:p>
    <w:p>
      <w:pPr>
        <w:keepNext w:val="0"/>
        <w:keepLines w:val="0"/>
        <w:pageBreakBefore w:val="0"/>
        <w:widowControl/>
        <w:kinsoku/>
        <w:wordWrap w:val="0"/>
        <w:overflowPunct/>
        <w:topLinePunct w:val="0"/>
        <w:autoSpaceDE/>
        <w:autoSpaceDN/>
        <w:bidi w:val="0"/>
        <w:spacing w:line="580" w:lineRule="exact"/>
        <w:ind w:left="0"/>
        <w:jc w:val="left"/>
        <w:textAlignment w:val="auto"/>
        <w:rPr>
          <w:rFonts w:hint="eastAsia" w:ascii="宋体" w:hAnsi="宋体" w:eastAsia="宋体" w:cs="宋体"/>
          <w:color w:val="auto"/>
          <w:spacing w:val="6"/>
          <w:kern w:val="0"/>
          <w:sz w:val="28"/>
          <w:szCs w:val="28"/>
        </w:rPr>
      </w:pPr>
      <w:r>
        <w:rPr>
          <w:rFonts w:hint="eastAsia" w:ascii="宋体" w:hAnsi="宋体" w:eastAsia="宋体" w:cs="宋体"/>
          <w:color w:val="auto"/>
          <w:spacing w:val="6"/>
          <w:kern w:val="0"/>
          <w:sz w:val="28"/>
          <w:szCs w:val="28"/>
        </w:rPr>
        <w:t xml:space="preserve">  </w:t>
      </w:r>
    </w:p>
    <w:p>
      <w:pPr>
        <w:keepNext w:val="0"/>
        <w:keepLines w:val="0"/>
        <w:pageBreakBefore w:val="0"/>
        <w:widowControl/>
        <w:suppressLineNumbers w:val="0"/>
        <w:kinsoku/>
        <w:overflowPunct/>
        <w:topLinePunct w:val="0"/>
        <w:autoSpaceDE/>
        <w:autoSpaceDN/>
        <w:bidi w:val="0"/>
        <w:spacing w:line="580" w:lineRule="exact"/>
        <w:ind w:firstLine="584" w:firstLineChars="200"/>
        <w:jc w:val="left"/>
        <w:textAlignment w:val="auto"/>
        <w:rPr>
          <w:rFonts w:hint="default" w:ascii="宋体" w:hAnsi="宋体" w:eastAsia="宋体" w:cs="宋体"/>
          <w:color w:val="auto"/>
          <w:sz w:val="28"/>
          <w:szCs w:val="28"/>
          <w:lang w:val="en-US" w:eastAsia="zh-CN"/>
        </w:rPr>
      </w:pPr>
      <w:r>
        <w:rPr>
          <w:rFonts w:hint="eastAsia" w:ascii="宋体" w:hAnsi="宋体" w:eastAsia="宋体" w:cs="宋体"/>
          <w:color w:val="auto"/>
          <w:spacing w:val="6"/>
          <w:kern w:val="0"/>
          <w:sz w:val="28"/>
          <w:szCs w:val="28"/>
          <w:lang w:val="en-US" w:eastAsia="zh-CN"/>
        </w:rPr>
        <w:t>附件1：教育部</w:t>
      </w:r>
      <w:r>
        <w:rPr>
          <w:rFonts w:hint="eastAsia" w:ascii="宋体" w:hAnsi="宋体" w:eastAsia="宋体" w:cs="宋体"/>
          <w:color w:val="auto"/>
          <w:sz w:val="28"/>
          <w:szCs w:val="28"/>
          <w:lang w:val="en-US" w:eastAsia="zh-CN"/>
        </w:rPr>
        <w:t xml:space="preserve">关于印发《本科毕业论文（设计） </w:t>
      </w:r>
      <w:r>
        <w:rPr>
          <w:rFonts w:hint="default" w:ascii="宋体" w:hAnsi="宋体" w:eastAsia="宋体" w:cs="宋体"/>
          <w:color w:val="auto"/>
          <w:sz w:val="28"/>
          <w:szCs w:val="28"/>
          <w:lang w:val="en-US" w:eastAsia="zh-CN"/>
        </w:rPr>
        <w:t>抽检办法（试行）》的通知</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spacing w:before="0" w:beforeAutospacing="0" w:after="0" w:afterAutospacing="0" w:line="580" w:lineRule="exact"/>
        <w:ind w:left="0" w:right="0" w:firstLine="560" w:firstLineChars="200"/>
        <w:jc w:val="left"/>
        <w:textAlignment w:val="auto"/>
        <w:rPr>
          <w:rFonts w:hint="eastAsia" w:ascii="宋体" w:hAnsi="宋体" w:eastAsia="宋体" w:cs="宋体"/>
          <w:b w:val="0"/>
          <w:color w:val="auto"/>
          <w:kern w:val="2"/>
          <w:sz w:val="28"/>
          <w:szCs w:val="28"/>
          <w:lang w:val="en-US" w:eastAsia="zh-CN" w:bidi="ar-SA"/>
        </w:rPr>
      </w:pPr>
      <w:r>
        <w:rPr>
          <w:rFonts w:hint="eastAsia" w:ascii="宋体" w:hAnsi="宋体" w:eastAsia="宋体" w:cs="宋体"/>
          <w:b w:val="0"/>
          <w:color w:val="auto"/>
          <w:kern w:val="2"/>
          <w:sz w:val="28"/>
          <w:szCs w:val="28"/>
          <w:lang w:val="en-US" w:eastAsia="zh-CN" w:bidi="ar-SA"/>
        </w:rPr>
        <w:t>附件2：开展本科毕业论文抽检，严把人才培养质量关</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spacing w:before="0" w:beforeAutospacing="0" w:after="0" w:afterAutospacing="0" w:line="580" w:lineRule="exact"/>
        <w:ind w:left="0" w:right="0" w:firstLine="560" w:firstLineChars="200"/>
        <w:jc w:val="left"/>
        <w:textAlignment w:val="auto"/>
        <w:rPr>
          <w:rFonts w:hint="eastAsia" w:ascii="宋体" w:hAnsi="宋体" w:eastAsia="宋体" w:cs="宋体"/>
          <w:b w:val="0"/>
          <w:color w:val="auto"/>
          <w:kern w:val="2"/>
          <w:sz w:val="28"/>
          <w:szCs w:val="28"/>
          <w:lang w:val="en-US" w:eastAsia="zh-CN" w:bidi="ar-SA"/>
        </w:rPr>
      </w:pPr>
      <w:r>
        <w:rPr>
          <w:rFonts w:hint="eastAsia" w:ascii="宋体" w:hAnsi="宋体" w:eastAsia="宋体" w:cs="宋体"/>
          <w:b w:val="0"/>
          <w:color w:val="auto"/>
          <w:kern w:val="2"/>
          <w:sz w:val="28"/>
          <w:szCs w:val="28"/>
          <w:lang w:val="en-US" w:eastAsia="zh-CN" w:bidi="ar-SA"/>
        </w:rPr>
        <w:t>——教育部教育督导局负责人就《本科毕业论文（设计）抽检办法（试行）》答记者问</w:t>
      </w:r>
    </w:p>
    <w:p>
      <w:pPr>
        <w:keepNext w:val="0"/>
        <w:keepLines w:val="0"/>
        <w:pageBreakBefore w:val="0"/>
        <w:widowControl/>
        <w:suppressLineNumbers w:val="0"/>
        <w:kinsoku/>
        <w:overflowPunct/>
        <w:topLinePunct w:val="0"/>
        <w:autoSpaceDE/>
        <w:autoSpaceDN/>
        <w:bidi w:val="0"/>
        <w:spacing w:line="580" w:lineRule="exact"/>
        <w:jc w:val="left"/>
        <w:textAlignment w:val="auto"/>
        <w:rPr>
          <w:rFonts w:hint="default" w:ascii="宋体" w:hAnsi="宋体" w:eastAsia="宋体" w:cs="宋体"/>
          <w:color w:val="auto"/>
          <w:sz w:val="28"/>
          <w:szCs w:val="28"/>
          <w:lang w:val="en-US" w:eastAsia="zh-CN"/>
        </w:rPr>
      </w:pPr>
    </w:p>
    <w:p>
      <w:pPr>
        <w:keepNext w:val="0"/>
        <w:keepLines w:val="0"/>
        <w:pageBreakBefore w:val="0"/>
        <w:numPr>
          <w:ilvl w:val="0"/>
          <w:numId w:val="0"/>
        </w:numPr>
        <w:kinsoku/>
        <w:overflowPunct/>
        <w:topLinePunct w:val="0"/>
        <w:autoSpaceDE/>
        <w:autoSpaceDN/>
        <w:bidi w:val="0"/>
        <w:spacing w:line="580" w:lineRule="exact"/>
        <w:ind w:left="0" w:firstLine="5840" w:firstLineChars="2000"/>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pacing w:val="6"/>
          <w:kern w:val="0"/>
          <w:sz w:val="28"/>
          <w:szCs w:val="28"/>
        </w:rPr>
        <w:t xml:space="preserve">   </w:t>
      </w:r>
      <w:r>
        <w:rPr>
          <w:rFonts w:hint="eastAsia" w:ascii="宋体" w:hAnsi="宋体" w:eastAsia="宋体" w:cs="宋体"/>
          <w:color w:val="auto"/>
          <w:sz w:val="28"/>
          <w:szCs w:val="28"/>
          <w:lang w:val="en-US" w:eastAsia="zh-CN"/>
        </w:rPr>
        <w:t>教学质量管理处</w:t>
      </w:r>
    </w:p>
    <w:p>
      <w:pPr>
        <w:keepNext w:val="0"/>
        <w:keepLines w:val="0"/>
        <w:pageBreakBefore w:val="0"/>
        <w:numPr>
          <w:ilvl w:val="0"/>
          <w:numId w:val="0"/>
        </w:numPr>
        <w:kinsoku/>
        <w:overflowPunct/>
        <w:topLinePunct w:val="0"/>
        <w:autoSpaceDE/>
        <w:autoSpaceDN/>
        <w:bidi w:val="0"/>
        <w:spacing w:line="580" w:lineRule="exact"/>
        <w:ind w:left="0" w:firstLine="560" w:firstLineChars="200"/>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 xml:space="preserve">                                   二○二二年三月二十八日</w:t>
      </w:r>
    </w:p>
    <w:p>
      <w:pPr>
        <w:widowControl/>
        <w:wordWrap w:val="0"/>
        <w:adjustRightInd w:val="0"/>
        <w:snapToGrid w:val="0"/>
        <w:spacing w:line="360" w:lineRule="auto"/>
        <w:rPr>
          <w:rFonts w:hint="eastAsia" w:asciiTheme="minorEastAsia" w:hAnsiTheme="minorEastAsia" w:cstheme="minorEastAsia"/>
          <w:color w:val="000000"/>
          <w:spacing w:val="6"/>
          <w:kern w:val="0"/>
          <w:sz w:val="28"/>
          <w:szCs w:val="28"/>
          <w:lang w:val="en-US" w:eastAsia="zh-CN"/>
        </w:rPr>
      </w:pPr>
    </w:p>
    <w:p>
      <w:pPr>
        <w:widowControl/>
        <w:wordWrap w:val="0"/>
        <w:adjustRightInd w:val="0"/>
        <w:snapToGrid w:val="0"/>
        <w:spacing w:line="360" w:lineRule="auto"/>
        <w:rPr>
          <w:rFonts w:hint="eastAsia" w:asciiTheme="minorEastAsia" w:hAnsiTheme="minorEastAsia" w:cstheme="minorEastAsia"/>
          <w:color w:val="000000"/>
          <w:spacing w:val="6"/>
          <w:kern w:val="0"/>
          <w:sz w:val="28"/>
          <w:szCs w:val="28"/>
          <w:lang w:val="en-US" w:eastAsia="zh-CN"/>
        </w:rPr>
      </w:pPr>
      <w:r>
        <w:rPr>
          <w:rFonts w:hint="eastAsia" w:asciiTheme="minorEastAsia" w:hAnsiTheme="minorEastAsia" w:cstheme="minorEastAsia"/>
          <w:color w:val="000000"/>
          <w:spacing w:val="6"/>
          <w:kern w:val="0"/>
          <w:sz w:val="28"/>
          <w:szCs w:val="28"/>
          <w:lang w:val="en-US" w:eastAsia="zh-CN"/>
        </w:rPr>
        <w:t>附件1：</w:t>
      </w:r>
    </w:p>
    <w:p>
      <w:pPr>
        <w:pStyle w:val="6"/>
        <w:rPr>
          <w:rFonts w:ascii="Times New Roman"/>
          <w:sz w:val="20"/>
        </w:rPr>
      </w:pPr>
    </w:p>
    <w:p>
      <w:pPr>
        <w:pStyle w:val="6"/>
        <w:rPr>
          <w:rFonts w:ascii="Times New Roman"/>
          <w:sz w:val="20"/>
        </w:rPr>
      </w:pPr>
    </w:p>
    <w:p>
      <w:pPr>
        <w:pStyle w:val="6"/>
        <w:rPr>
          <w:rFonts w:ascii="Times New Roman"/>
          <w:sz w:val="20"/>
        </w:rPr>
      </w:pPr>
    </w:p>
    <w:p>
      <w:pPr>
        <w:pStyle w:val="6"/>
        <w:rPr>
          <w:rFonts w:ascii="Times New Roman"/>
          <w:sz w:val="20"/>
        </w:rPr>
      </w:pPr>
    </w:p>
    <w:p>
      <w:pPr>
        <w:pStyle w:val="6"/>
        <w:rPr>
          <w:rFonts w:ascii="Times New Roman"/>
          <w:sz w:val="20"/>
        </w:rPr>
      </w:pPr>
    </w:p>
    <w:p>
      <w:pPr>
        <w:pStyle w:val="6"/>
        <w:spacing w:before="3" w:after="1"/>
        <w:rPr>
          <w:rFonts w:ascii="Times New Roman"/>
          <w:sz w:val="17"/>
        </w:rPr>
      </w:pPr>
    </w:p>
    <w:p>
      <w:pPr>
        <w:pStyle w:val="6"/>
        <w:ind w:left="1258"/>
        <w:rPr>
          <w:rFonts w:ascii="Times New Roman"/>
          <w:sz w:val="20"/>
        </w:rPr>
      </w:pPr>
      <w:r>
        <w:rPr>
          <w:rFonts w:ascii="Times New Roman"/>
          <w:sz w:val="20"/>
        </w:rPr>
        <w:drawing>
          <wp:inline distT="0" distB="0" distL="0" distR="0">
            <wp:extent cx="4427855" cy="702310"/>
            <wp:effectExtent l="0" t="0" r="10795" b="254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jpeg"/>
                    <pic:cNvPicPr>
                      <a:picLocks noChangeAspect="1"/>
                    </pic:cNvPicPr>
                  </pic:nvPicPr>
                  <pic:blipFill>
                    <a:blip r:embed="rId5" cstate="print"/>
                    <a:stretch>
                      <a:fillRect/>
                    </a:stretch>
                  </pic:blipFill>
                  <pic:spPr>
                    <a:xfrm>
                      <a:off x="0" y="0"/>
                      <a:ext cx="4428207" cy="702754"/>
                    </a:xfrm>
                    <a:prstGeom prst="rect">
                      <a:avLst/>
                    </a:prstGeom>
                  </pic:spPr>
                </pic:pic>
              </a:graphicData>
            </a:graphic>
          </wp:inline>
        </w:drawing>
      </w:r>
    </w:p>
    <w:p>
      <w:pPr>
        <w:pStyle w:val="6"/>
        <w:rPr>
          <w:rFonts w:ascii="Times New Roman"/>
          <w:sz w:val="20"/>
        </w:rPr>
      </w:pPr>
    </w:p>
    <w:p>
      <w:pPr>
        <w:pStyle w:val="6"/>
        <w:rPr>
          <w:rFonts w:ascii="Times New Roman"/>
          <w:sz w:val="20"/>
        </w:rPr>
      </w:pPr>
    </w:p>
    <w:p>
      <w:pPr>
        <w:pStyle w:val="6"/>
        <w:spacing w:before="1"/>
        <w:rPr>
          <w:rFonts w:ascii="Times New Roman"/>
          <w:sz w:val="20"/>
        </w:rPr>
      </w:pPr>
    </w:p>
    <w:p>
      <w:pPr>
        <w:pStyle w:val="6"/>
        <w:spacing w:before="64"/>
        <w:ind w:left="915" w:right="691"/>
        <w:jc w:val="center"/>
      </w:pPr>
      <w:r>
        <mc:AlternateContent>
          <mc:Choice Requires="wps">
            <w:drawing>
              <wp:anchor distT="0" distB="0" distL="114300" distR="114300" simplePos="0" relativeHeight="251661312" behindDoc="0" locked="0" layoutInCell="1" allowOverlap="1">
                <wp:simplePos x="0" y="0"/>
                <wp:positionH relativeFrom="page">
                  <wp:posOffset>995680</wp:posOffset>
                </wp:positionH>
                <wp:positionV relativeFrom="paragraph">
                  <wp:posOffset>457835</wp:posOffset>
                </wp:positionV>
                <wp:extent cx="5875020" cy="0"/>
                <wp:effectExtent l="0" t="14605" r="11430" b="23495"/>
                <wp:wrapNone/>
                <wp:docPr id="9" name="直接连接符 9"/>
                <wp:cNvGraphicFramePr/>
                <a:graphic xmlns:a="http://schemas.openxmlformats.org/drawingml/2006/main">
                  <a:graphicData uri="http://schemas.microsoft.com/office/word/2010/wordprocessingShape">
                    <wps:wsp>
                      <wps:cNvCnPr/>
                      <wps:spPr>
                        <a:xfrm>
                          <a:off x="0" y="0"/>
                          <a:ext cx="5875020" cy="0"/>
                        </a:xfrm>
                        <a:prstGeom prst="line">
                          <a:avLst/>
                        </a:prstGeom>
                        <a:ln w="29210" cap="flat" cmpd="sng">
                          <a:solidFill>
                            <a:srgbClr val="FF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78.4pt;margin-top:36.05pt;height:0pt;width:462.6pt;mso-position-horizontal-relative:page;z-index:251661312;mso-width-relative:page;mso-height-relative:page;" filled="f" stroked="t" coordsize="21600,21600" o:gfxdata="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AW7OvXUAAAACgEAAA8AAAAAAAAAAQAgAAAAIgAAAGRycy9kb3ducmV2LnhtbFBLAQIU&#10;ABQAAAAIAIdO4kAveg2/9wEAAOUDAAAOAAAAAAAAAAEAIAAAACMBAABkcnMvZTJvRG9jLnhtbFBL&#10;BQYAAAAABgAGAFkBAACMBQAAAAA=&#10;">
                <v:fill on="f" focussize="0,0"/>
                <v:stroke weight="2.3pt" color="#FF0000" joinstyle="round"/>
                <v:imagedata o:title=""/>
                <o:lock v:ext="edit" aspectratio="f"/>
              </v:line>
            </w:pict>
          </mc:Fallback>
        </mc:AlternateContent>
      </w:r>
      <w:r>
        <w:t>教督〔</w:t>
      </w:r>
      <w:r>
        <w:rPr>
          <w:rFonts w:ascii="Times New Roman" w:eastAsia="Times New Roman"/>
        </w:rPr>
        <w:t>2020</w:t>
      </w:r>
      <w:r>
        <w:t>〕5 号</w:t>
      </w:r>
    </w:p>
    <w:p>
      <w:pPr>
        <w:pStyle w:val="6"/>
        <w:rPr>
          <w:sz w:val="20"/>
        </w:rPr>
      </w:pPr>
    </w:p>
    <w:p>
      <w:pPr>
        <w:pStyle w:val="6"/>
        <w:rPr>
          <w:sz w:val="20"/>
        </w:rPr>
      </w:pPr>
    </w:p>
    <w:p>
      <w:pPr>
        <w:pStyle w:val="6"/>
        <w:rPr>
          <w:sz w:val="20"/>
        </w:rPr>
      </w:pPr>
    </w:p>
    <w:p>
      <w:pPr>
        <w:pStyle w:val="6"/>
        <w:rPr>
          <w:sz w:val="20"/>
        </w:rPr>
      </w:pPr>
    </w:p>
    <w:p>
      <w:pPr>
        <w:pStyle w:val="6"/>
        <w:spacing w:before="5"/>
        <w:rPr>
          <w:sz w:val="17"/>
        </w:rPr>
      </w:pPr>
    </w:p>
    <w:p>
      <w:pPr>
        <w:spacing w:before="52" w:line="290" w:lineRule="auto"/>
        <w:ind w:left="2463" w:right="1453" w:hanging="1172"/>
        <w:jc w:val="left"/>
        <w:rPr>
          <w:rFonts w:hint="eastAsia" w:ascii="宋体" w:eastAsia="宋体"/>
          <w:sz w:val="36"/>
        </w:rPr>
      </w:pPr>
      <w:r>
        <w:rPr>
          <w:rFonts w:hint="eastAsia" w:ascii="宋体" w:eastAsia="宋体"/>
          <w:sz w:val="36"/>
        </w:rPr>
        <w:t>教育部关于印发《本科毕业论文（设计</w:t>
      </w:r>
      <w:r>
        <w:rPr>
          <w:rFonts w:hint="eastAsia" w:ascii="宋体" w:eastAsia="宋体"/>
          <w:spacing w:val="-18"/>
          <w:sz w:val="36"/>
        </w:rPr>
        <w:t xml:space="preserve">） </w:t>
      </w:r>
      <w:r>
        <w:rPr>
          <w:rFonts w:hint="eastAsia" w:ascii="宋体" w:eastAsia="宋体"/>
          <w:sz w:val="36"/>
        </w:rPr>
        <w:t>抽检办法（试行</w:t>
      </w:r>
      <w:r>
        <w:rPr>
          <w:rFonts w:hint="eastAsia" w:ascii="宋体" w:eastAsia="宋体"/>
          <w:spacing w:val="-180"/>
          <w:sz w:val="36"/>
        </w:rPr>
        <w:t>）</w:t>
      </w:r>
      <w:r>
        <w:rPr>
          <w:rFonts w:hint="eastAsia" w:ascii="宋体" w:eastAsia="宋体"/>
          <w:sz w:val="36"/>
        </w:rPr>
        <w:t>》的通知</w:t>
      </w:r>
    </w:p>
    <w:p>
      <w:pPr>
        <w:pStyle w:val="6"/>
        <w:spacing w:before="4"/>
        <w:rPr>
          <w:rFonts w:ascii="宋体"/>
          <w:sz w:val="47"/>
        </w:rPr>
      </w:pPr>
    </w:p>
    <w:p>
      <w:pPr>
        <w:pStyle w:val="6"/>
        <w:spacing w:line="326" w:lineRule="auto"/>
        <w:ind w:left="380" w:right="379"/>
      </w:pPr>
      <w:r>
        <w:rPr>
          <w:spacing w:val="-3"/>
        </w:rPr>
        <w:t>各省、自治区、直辖市教育厅</w:t>
      </w:r>
      <w:r>
        <w:t>（教委</w:t>
      </w:r>
      <w:r>
        <w:rPr>
          <w:spacing w:val="-3"/>
        </w:rPr>
        <w:t>），</w:t>
      </w:r>
      <w:r>
        <w:t>新疆生产建设兵团</w:t>
      </w:r>
      <w:r>
        <w:rPr>
          <w:spacing w:val="-9"/>
          <w:w w:val="95"/>
        </w:rPr>
        <w:t>教育局，有关部门</w:t>
      </w:r>
      <w:r>
        <w:rPr>
          <w:w w:val="95"/>
        </w:rPr>
        <w:t>（单位</w:t>
      </w:r>
      <w:r>
        <w:rPr>
          <w:spacing w:val="-27"/>
          <w:w w:val="95"/>
        </w:rPr>
        <w:t>）</w:t>
      </w:r>
      <w:r>
        <w:rPr>
          <w:spacing w:val="-10"/>
          <w:w w:val="95"/>
        </w:rPr>
        <w:t>教育司</w:t>
      </w:r>
      <w:r>
        <w:rPr>
          <w:w w:val="95"/>
        </w:rPr>
        <w:t>（局</w:t>
      </w:r>
      <w:r>
        <w:rPr>
          <w:spacing w:val="-28"/>
          <w:w w:val="95"/>
        </w:rPr>
        <w:t>）</w:t>
      </w:r>
      <w:r>
        <w:rPr>
          <w:spacing w:val="-6"/>
          <w:w w:val="95"/>
        </w:rPr>
        <w:t>，部属各高等学校、</w:t>
      </w:r>
      <w:r>
        <w:rPr>
          <w:spacing w:val="-6"/>
        </w:rPr>
        <w:t>部省合建各高等学校：</w:t>
      </w:r>
    </w:p>
    <w:p>
      <w:pPr>
        <w:pStyle w:val="6"/>
        <w:spacing w:before="7" w:line="328" w:lineRule="auto"/>
        <w:ind w:left="380" w:right="535" w:firstLine="640"/>
        <w:jc w:val="both"/>
      </w:pPr>
      <w:r>
        <w:rPr>
          <w:spacing w:val="-21"/>
          <w:w w:val="95"/>
        </w:rPr>
        <w:t xml:space="preserve">为贯彻落实《深化新时代教育评价改革总体方案》和《关 </w:t>
      </w:r>
      <w:r>
        <w:rPr>
          <w:spacing w:val="-3"/>
          <w:w w:val="95"/>
        </w:rPr>
        <w:t xml:space="preserve">于深化新时代教育督导体制机制改革的意见》，加强和改进 </w:t>
      </w:r>
      <w:r>
        <w:rPr>
          <w:spacing w:val="-21"/>
        </w:rPr>
        <w:t>教育督导评估监测，保证本科人才培养基本质量，特制定《本</w:t>
      </w:r>
      <w:r>
        <w:rPr>
          <w:spacing w:val="-18"/>
          <w:w w:val="95"/>
        </w:rPr>
        <w:t>科毕业论文</w:t>
      </w:r>
      <w:r>
        <w:rPr>
          <w:w w:val="95"/>
        </w:rPr>
        <w:t>（设计</w:t>
      </w:r>
      <w:r>
        <w:rPr>
          <w:spacing w:val="-3"/>
          <w:w w:val="95"/>
        </w:rPr>
        <w:t>）</w:t>
      </w:r>
      <w:r>
        <w:rPr>
          <w:w w:val="95"/>
        </w:rPr>
        <w:t>抽检办法</w:t>
      </w:r>
      <w:r>
        <w:rPr>
          <w:spacing w:val="-3"/>
          <w:w w:val="95"/>
        </w:rPr>
        <w:t>（</w:t>
      </w:r>
      <w:r>
        <w:rPr>
          <w:w w:val="95"/>
        </w:rPr>
        <w:t>试行</w:t>
      </w:r>
      <w:r>
        <w:rPr>
          <w:spacing w:val="-159"/>
          <w:w w:val="95"/>
        </w:rPr>
        <w:t>）</w:t>
      </w:r>
      <w:r>
        <w:rPr>
          <w:spacing w:val="-18"/>
          <w:w w:val="95"/>
        </w:rPr>
        <w:t xml:space="preserve">》。现将该办法印发给 </w:t>
      </w:r>
      <w:r>
        <w:rPr>
          <w:spacing w:val="-18"/>
        </w:rPr>
        <w:t>你们，请遵照执行。</w:t>
      </w:r>
    </w:p>
    <w:p>
      <w:pPr>
        <w:pStyle w:val="6"/>
      </w:pPr>
    </w:p>
    <w:p>
      <w:pPr>
        <w:pStyle w:val="6"/>
        <w:spacing w:before="9"/>
        <w:rPr>
          <w:sz w:val="22"/>
        </w:rPr>
      </w:pPr>
    </w:p>
    <w:p>
      <w:pPr>
        <w:pStyle w:val="6"/>
        <w:tabs>
          <w:tab w:val="left" w:pos="6300"/>
          <w:tab w:val="left" w:pos="6939"/>
        </w:tabs>
        <w:ind w:left="5660"/>
      </w:pPr>
      <w:r>
        <w:t>教</w:t>
      </w:r>
      <w:r>
        <w:tab/>
      </w:r>
      <w:r>
        <w:t>育</w:t>
      </w:r>
      <w:r>
        <w:tab/>
      </w:r>
      <w:r>
        <w:t>部</w:t>
      </w:r>
    </w:p>
    <w:p>
      <w:pPr>
        <w:pStyle w:val="6"/>
        <w:spacing w:before="149"/>
        <w:ind w:left="5244"/>
      </w:pPr>
      <w:r>
        <w:rPr>
          <w:rFonts w:ascii="Times New Roman" w:eastAsia="Times New Roman"/>
        </w:rPr>
        <w:t xml:space="preserve">2020 </w:t>
      </w:r>
      <w:r>
        <w:t xml:space="preserve">年 </w:t>
      </w:r>
      <w:r>
        <w:rPr>
          <w:rFonts w:ascii="Times New Roman" w:eastAsia="Times New Roman"/>
        </w:rPr>
        <w:t xml:space="preserve">12 </w:t>
      </w:r>
      <w:r>
        <w:t xml:space="preserve">月 </w:t>
      </w:r>
      <w:r>
        <w:rPr>
          <w:rFonts w:ascii="Times New Roman" w:eastAsia="Times New Roman"/>
        </w:rPr>
        <w:t xml:space="preserve">24 </w:t>
      </w:r>
      <w:r>
        <w:t>日</w:t>
      </w:r>
    </w:p>
    <w:p>
      <w:pPr>
        <w:spacing w:after="0"/>
        <w:sectPr>
          <w:pgSz w:w="11910" w:h="16840"/>
          <w:pgMar w:top="1247" w:right="1417" w:bottom="1247" w:left="1417" w:header="720" w:footer="720" w:gutter="0"/>
          <w:cols w:space="720" w:num="1"/>
        </w:sectPr>
      </w:pPr>
    </w:p>
    <w:p>
      <w:pPr>
        <w:pStyle w:val="6"/>
        <w:spacing w:before="3"/>
        <w:rPr>
          <w:sz w:val="19"/>
        </w:rPr>
      </w:pPr>
    </w:p>
    <w:p>
      <w:pPr>
        <w:spacing w:before="48"/>
        <w:ind w:left="915" w:right="1074" w:firstLine="0"/>
        <w:jc w:val="center"/>
        <w:rPr>
          <w:rFonts w:hint="eastAsia" w:ascii="宋体" w:eastAsia="宋体"/>
          <w:sz w:val="40"/>
        </w:rPr>
      </w:pPr>
      <w:r>
        <w:rPr>
          <w:rFonts w:hint="eastAsia" w:ascii="宋体" w:eastAsia="宋体"/>
          <w:sz w:val="40"/>
        </w:rPr>
        <w:t>本科毕业论文（设计）抽检办法（试行）</w:t>
      </w:r>
    </w:p>
    <w:p>
      <w:pPr>
        <w:pStyle w:val="6"/>
        <w:spacing w:before="1"/>
        <w:rPr>
          <w:rFonts w:ascii="宋体"/>
          <w:sz w:val="60"/>
        </w:rPr>
      </w:pPr>
    </w:p>
    <w:p>
      <w:pPr>
        <w:pStyle w:val="6"/>
        <w:ind w:left="914" w:right="1074"/>
        <w:jc w:val="center"/>
        <w:rPr>
          <w:rFonts w:hint="eastAsia" w:ascii="黑体" w:eastAsia="黑体"/>
        </w:rPr>
      </w:pPr>
      <w:r>
        <w:rPr>
          <w:rFonts w:hint="eastAsia" w:ascii="黑体" w:eastAsia="黑体"/>
        </w:rPr>
        <w:t>第一章 总则</w:t>
      </w:r>
    </w:p>
    <w:p>
      <w:pPr>
        <w:pStyle w:val="6"/>
        <w:spacing w:before="190" w:line="350" w:lineRule="auto"/>
        <w:ind w:left="111" w:right="270" w:firstLine="640"/>
        <w:jc w:val="both"/>
      </w:pPr>
      <w:r>
        <w:rPr>
          <w:rFonts w:hint="eastAsia" w:ascii="楷体" w:eastAsia="楷体"/>
          <w:b/>
          <w:spacing w:val="4"/>
        </w:rPr>
        <w:t xml:space="preserve">第一条 </w:t>
      </w:r>
      <w:r>
        <w:t>按照《深化新时代教育评价改革总体方案》和《关</w:t>
      </w:r>
      <w:r>
        <w:rPr>
          <w:spacing w:val="-6"/>
        </w:rPr>
        <w:t>于深化新时代教育督导体制机制改革的意见》要求，为加强和改</w:t>
      </w:r>
      <w:r>
        <w:rPr>
          <w:spacing w:val="2"/>
          <w:w w:val="99"/>
        </w:rPr>
        <w:t>进教育督导评估监测，做好本科毕业论文（设计</w:t>
      </w:r>
      <w:r>
        <w:rPr>
          <w:spacing w:val="-159"/>
          <w:w w:val="99"/>
        </w:rPr>
        <w:t>）</w:t>
      </w:r>
      <w:r>
        <w:rPr>
          <w:spacing w:val="2"/>
          <w:w w:val="99"/>
        </w:rPr>
        <w:t>（</w:t>
      </w:r>
      <w:r>
        <w:rPr>
          <w:spacing w:val="1"/>
          <w:w w:val="99"/>
        </w:rPr>
        <w:t>以下简称本</w:t>
      </w:r>
      <w:r>
        <w:rPr>
          <w:spacing w:val="1"/>
          <w:w w:val="95"/>
        </w:rPr>
        <w:t>科毕业论文</w:t>
      </w:r>
      <w:r>
        <w:rPr>
          <w:spacing w:val="-39"/>
          <w:w w:val="95"/>
        </w:rPr>
        <w:t>）</w:t>
      </w:r>
      <w:r>
        <w:rPr>
          <w:spacing w:val="-8"/>
          <w:w w:val="95"/>
        </w:rPr>
        <w:t xml:space="preserve">抽检工作，保证本科人才培养基本质量，制定本办 </w:t>
      </w:r>
      <w:r>
        <w:rPr>
          <w:spacing w:val="-8"/>
        </w:rPr>
        <w:t>法。</w:t>
      </w:r>
    </w:p>
    <w:p>
      <w:pPr>
        <w:pStyle w:val="6"/>
        <w:spacing w:before="7" w:line="350" w:lineRule="auto"/>
        <w:ind w:left="111" w:right="270" w:firstLine="640"/>
        <w:jc w:val="both"/>
      </w:pPr>
      <w:r>
        <w:rPr>
          <w:rFonts w:hint="eastAsia" w:ascii="楷体" w:eastAsia="楷体"/>
          <w:b/>
          <w:spacing w:val="4"/>
        </w:rPr>
        <w:t xml:space="preserve">第二条 </w:t>
      </w:r>
      <w:r>
        <w:t xml:space="preserve">教育部负责本科毕业论文抽检的统筹组织和监督， </w:t>
      </w:r>
      <w:r>
        <w:rPr>
          <w:spacing w:val="-6"/>
        </w:rPr>
        <w:t>省级教育行政部门负责本地区本科毕业论文抽检的具体实施。其</w:t>
      </w:r>
      <w:r>
        <w:rPr>
          <w:spacing w:val="-12"/>
          <w:w w:val="95"/>
        </w:rPr>
        <w:t xml:space="preserve">中，中国人民解放军有关部门负责军队系统本科毕业论文抽检的 </w:t>
      </w:r>
      <w:r>
        <w:rPr>
          <w:spacing w:val="-12"/>
        </w:rPr>
        <w:t>具体实施。</w:t>
      </w:r>
    </w:p>
    <w:p>
      <w:pPr>
        <w:pStyle w:val="6"/>
        <w:spacing w:before="6" w:line="350" w:lineRule="auto"/>
        <w:ind w:left="111" w:right="271" w:firstLine="640"/>
        <w:jc w:val="both"/>
      </w:pPr>
      <w:r>
        <w:rPr>
          <w:rFonts w:hint="eastAsia" w:ascii="楷体" w:eastAsia="楷体"/>
          <w:b/>
          <w:spacing w:val="4"/>
        </w:rPr>
        <w:t xml:space="preserve">第三条 </w:t>
      </w:r>
      <w:r>
        <w:t>本科毕业论文抽检工作应遵循独立、客观、科学、</w:t>
      </w:r>
      <w:r>
        <w:rPr>
          <w:spacing w:val="-12"/>
          <w:w w:val="95"/>
        </w:rPr>
        <w:t xml:space="preserve">公正原则，任何单位和个人都不得以任何方式干扰抽检工作的正 </w:t>
      </w:r>
      <w:r>
        <w:rPr>
          <w:spacing w:val="-12"/>
        </w:rPr>
        <w:t>常进行。</w:t>
      </w:r>
    </w:p>
    <w:p>
      <w:pPr>
        <w:pStyle w:val="6"/>
        <w:spacing w:before="4" w:line="350" w:lineRule="auto"/>
        <w:ind w:left="111" w:right="271" w:firstLine="640"/>
        <w:jc w:val="both"/>
      </w:pPr>
      <w:r>
        <w:rPr>
          <w:rFonts w:hint="eastAsia" w:ascii="楷体" w:eastAsia="楷体"/>
          <w:b/>
        </w:rPr>
        <w:t xml:space="preserve">第四条 </w:t>
      </w:r>
      <w:r>
        <w:t xml:space="preserve">本科毕业论文抽检每年进行一次，抽检对象为上一学年度授予学士学位的论文，抽检比例原则上应不低于 </w:t>
      </w:r>
      <w:r>
        <w:rPr>
          <w:rFonts w:ascii="Times New Roman" w:eastAsia="Times New Roman"/>
        </w:rPr>
        <w:t>2%</w:t>
      </w:r>
      <w:r>
        <w:t>。</w:t>
      </w:r>
    </w:p>
    <w:p>
      <w:pPr>
        <w:pStyle w:val="6"/>
        <w:spacing w:before="159"/>
        <w:ind w:left="914" w:right="1074"/>
        <w:jc w:val="center"/>
        <w:rPr>
          <w:rFonts w:hint="eastAsia" w:ascii="黑体" w:eastAsia="黑体"/>
        </w:rPr>
      </w:pPr>
      <w:r>
        <w:rPr>
          <w:rFonts w:hint="eastAsia" w:ascii="黑体" w:eastAsia="黑体"/>
        </w:rPr>
        <w:t>第二章 评议要素和重点</w:t>
      </w:r>
    </w:p>
    <w:p>
      <w:pPr>
        <w:pStyle w:val="6"/>
        <w:spacing w:before="190" w:line="350" w:lineRule="auto"/>
        <w:ind w:left="111" w:right="270" w:firstLine="640"/>
        <w:jc w:val="both"/>
      </w:pPr>
      <w:r>
        <w:rPr>
          <w:rFonts w:hint="eastAsia" w:ascii="楷体" w:eastAsia="楷体"/>
          <w:b/>
          <w:spacing w:val="4"/>
        </w:rPr>
        <w:t xml:space="preserve">第五条 </w:t>
      </w:r>
      <w:r>
        <w:t>省级教育行政部门要参照《普通高等学校本科专业</w:t>
      </w:r>
      <w:r>
        <w:rPr>
          <w:spacing w:val="-7"/>
          <w:w w:val="95"/>
        </w:rPr>
        <w:t xml:space="preserve">类教学质量国家标准》等要求，结合本地区工作实际，按照《普 </w:t>
      </w:r>
      <w:r>
        <w:rPr>
          <w:spacing w:val="-8"/>
        </w:rPr>
        <w:t>通高等学校本科专业目录</w:t>
      </w:r>
      <w:r>
        <w:t>（</w:t>
      </w:r>
      <w:r>
        <w:rPr>
          <w:rFonts w:ascii="Times New Roman" w:eastAsia="Times New Roman"/>
        </w:rPr>
        <w:t xml:space="preserve">2020 </w:t>
      </w:r>
      <w:r>
        <w:t>年版</w:t>
      </w:r>
      <w:r>
        <w:rPr>
          <w:spacing w:val="-159"/>
        </w:rPr>
        <w:t>）</w:t>
      </w:r>
      <w:r>
        <w:rPr>
          <w:spacing w:val="-4"/>
        </w:rPr>
        <w:t>》学科门类分别制定本科</w:t>
      </w:r>
    </w:p>
    <w:p>
      <w:pPr>
        <w:spacing w:after="0" w:line="350" w:lineRule="auto"/>
        <w:jc w:val="both"/>
        <w:sectPr>
          <w:footerReference r:id="rId3" w:type="default"/>
          <w:pgSz w:w="11910" w:h="16840"/>
          <w:pgMar w:top="1580" w:right="1260" w:bottom="1620" w:left="1420" w:header="0" w:footer="1427" w:gutter="0"/>
          <w:pgNumType w:start="2"/>
          <w:cols w:space="720" w:num="1"/>
        </w:sectPr>
      </w:pPr>
    </w:p>
    <w:p>
      <w:pPr>
        <w:pStyle w:val="6"/>
        <w:spacing w:before="2"/>
        <w:rPr>
          <w:sz w:val="25"/>
        </w:rPr>
      </w:pPr>
    </w:p>
    <w:p>
      <w:pPr>
        <w:pStyle w:val="6"/>
        <w:spacing w:before="55"/>
        <w:ind w:left="111"/>
      </w:pPr>
      <w:r>
        <w:t>毕业论文抽检评议要素。</w:t>
      </w:r>
    </w:p>
    <w:p>
      <w:pPr>
        <w:pStyle w:val="6"/>
        <w:spacing w:before="190" w:line="350" w:lineRule="auto"/>
        <w:ind w:left="111" w:right="271" w:firstLine="640"/>
      </w:pPr>
      <w:r>
        <w:rPr>
          <w:rFonts w:hint="eastAsia" w:ascii="楷体" w:eastAsia="楷体"/>
          <w:b/>
        </w:rPr>
        <w:t xml:space="preserve">第六条 </w:t>
      </w:r>
      <w:r>
        <w:t>本科毕业论文抽检应重点对选题意义、写作安排、逻辑构建、专业能力以及学术规范等进行考察。</w:t>
      </w:r>
    </w:p>
    <w:p>
      <w:pPr>
        <w:pStyle w:val="6"/>
        <w:spacing w:before="159"/>
        <w:ind w:left="914" w:right="1074"/>
        <w:jc w:val="center"/>
        <w:rPr>
          <w:rFonts w:hint="eastAsia" w:ascii="黑体" w:eastAsia="黑体"/>
        </w:rPr>
      </w:pPr>
      <w:r>
        <w:rPr>
          <w:rFonts w:hint="eastAsia" w:ascii="黑体" w:eastAsia="黑体"/>
        </w:rPr>
        <w:t>第三章 工作程序</w:t>
      </w:r>
    </w:p>
    <w:p>
      <w:pPr>
        <w:pStyle w:val="6"/>
        <w:spacing w:before="190" w:line="350" w:lineRule="auto"/>
        <w:ind w:left="111" w:right="271" w:firstLine="640"/>
        <w:jc w:val="both"/>
      </w:pPr>
      <w:r>
        <w:rPr>
          <w:rFonts w:hint="eastAsia" w:ascii="楷体" w:eastAsia="楷体"/>
          <w:b/>
          <w:spacing w:val="4"/>
        </w:rPr>
        <w:t xml:space="preserve">第七条 </w:t>
      </w:r>
      <w:r>
        <w:t>教育部建立全国本科毕业论文抽检信息平台（以下</w:t>
      </w:r>
      <w:r>
        <w:rPr>
          <w:spacing w:val="2"/>
          <w:w w:val="99"/>
        </w:rPr>
        <w:t>简称抽检信息平台</w:t>
      </w:r>
      <w:r>
        <w:rPr>
          <w:spacing w:val="-159"/>
          <w:w w:val="99"/>
        </w:rPr>
        <w:t>）</w:t>
      </w:r>
      <w:r>
        <w:rPr>
          <w:spacing w:val="1"/>
          <w:w w:val="99"/>
        </w:rPr>
        <w:t>，面向省级教育行政部门提供学术不端行为</w:t>
      </w:r>
      <w:r>
        <w:rPr>
          <w:spacing w:val="-11"/>
          <w:w w:val="95"/>
        </w:rPr>
        <w:t xml:space="preserve">检测、毕业论文提取和专家评审等定制功能，对各省级教育行政 </w:t>
      </w:r>
      <w:r>
        <w:rPr>
          <w:spacing w:val="-11"/>
        </w:rPr>
        <w:t>部门开展本科毕业论文抽检工作实行全过程监督。</w:t>
      </w:r>
    </w:p>
    <w:p>
      <w:pPr>
        <w:pStyle w:val="6"/>
        <w:spacing w:before="5" w:line="350" w:lineRule="auto"/>
        <w:ind w:left="111" w:right="271" w:firstLine="640"/>
        <w:jc w:val="both"/>
      </w:pPr>
      <w:r>
        <w:rPr>
          <w:rFonts w:hint="eastAsia" w:ascii="楷体" w:eastAsia="楷体"/>
          <w:b/>
          <w:spacing w:val="4"/>
        </w:rPr>
        <w:t xml:space="preserve">第八条 </w:t>
      </w:r>
      <w:r>
        <w:t>省级教育行政部门基于抽检信息平台和本地区学士</w:t>
      </w:r>
      <w:r>
        <w:rPr>
          <w:spacing w:val="-11"/>
          <w:w w:val="95"/>
        </w:rPr>
        <w:t xml:space="preserve">学位授予信息，采取随机抽取的方式确定抽检名单。抽检论文要 </w:t>
      </w:r>
      <w:r>
        <w:rPr>
          <w:spacing w:val="-11"/>
        </w:rPr>
        <w:t>覆盖本地区所有本科层次普通高校及其全部本科专业。</w:t>
      </w:r>
    </w:p>
    <w:p>
      <w:pPr>
        <w:pStyle w:val="6"/>
        <w:spacing w:before="4" w:line="350" w:lineRule="auto"/>
        <w:ind w:left="111" w:right="271" w:firstLine="640"/>
        <w:jc w:val="both"/>
      </w:pPr>
      <w:r>
        <w:rPr>
          <w:rFonts w:hint="eastAsia" w:ascii="楷体" w:eastAsia="楷体"/>
          <w:b/>
        </w:rPr>
        <w:t xml:space="preserve">第九条 </w:t>
      </w:r>
      <w:r>
        <w:t>省级教育行政部门利用抽检信息平台对抽检论文进行学术不端行为检测，检测结果供专家评审参考。</w:t>
      </w:r>
    </w:p>
    <w:p>
      <w:pPr>
        <w:pStyle w:val="6"/>
        <w:spacing w:before="3" w:line="350" w:lineRule="auto"/>
        <w:ind w:left="111" w:right="110" w:firstLine="640"/>
        <w:jc w:val="both"/>
      </w:pPr>
      <w:r>
        <w:rPr>
          <w:rFonts w:hint="eastAsia" w:ascii="楷体" w:eastAsia="楷体"/>
          <w:b/>
          <w:spacing w:val="3"/>
        </w:rPr>
        <w:t xml:space="preserve">第十条 </w:t>
      </w:r>
      <w:r>
        <w:t>省级教育行政部门采取随机匹配方式组织同行专家</w:t>
      </w:r>
      <w:r>
        <w:rPr>
          <w:spacing w:val="-21"/>
        </w:rPr>
        <w:t xml:space="preserve">对抽检论文进行评议，提出评议意见。每篇论文送 </w:t>
      </w:r>
      <w:r>
        <w:rPr>
          <w:rFonts w:ascii="Times New Roman" w:eastAsia="Times New Roman"/>
        </w:rPr>
        <w:t xml:space="preserve">3 </w:t>
      </w:r>
      <w:r>
        <w:t>位同行专家，</w:t>
      </w:r>
    </w:p>
    <w:p>
      <w:pPr>
        <w:pStyle w:val="6"/>
        <w:spacing w:before="3" w:line="350" w:lineRule="auto"/>
        <w:ind w:left="111" w:right="270"/>
        <w:jc w:val="both"/>
        <w:rPr>
          <w:rFonts w:ascii="Times New Roman" w:hAnsi="Times New Roman" w:eastAsia="Times New Roman"/>
        </w:rPr>
      </w:pPr>
      <w:r>
        <w:rPr>
          <w:rFonts w:ascii="Times New Roman" w:hAnsi="Times New Roman" w:eastAsia="Times New Roman"/>
        </w:rPr>
        <w:t xml:space="preserve">3 </w:t>
      </w:r>
      <w:r>
        <w:rPr>
          <w:spacing w:val="-14"/>
        </w:rPr>
        <w:t xml:space="preserve">位专家中有 </w:t>
      </w:r>
      <w:r>
        <w:rPr>
          <w:rFonts w:ascii="Times New Roman" w:hAnsi="Times New Roman" w:eastAsia="Times New Roman"/>
        </w:rPr>
        <w:t xml:space="preserve">2 </w:t>
      </w:r>
      <w:r>
        <w:rPr>
          <w:spacing w:val="-4"/>
        </w:rPr>
        <w:t>位以上</w:t>
      </w:r>
      <w:r>
        <w:t>（</w:t>
      </w:r>
      <w:r>
        <w:rPr>
          <w:spacing w:val="-41"/>
        </w:rPr>
        <w:t xml:space="preserve">含 </w:t>
      </w:r>
      <w:r>
        <w:rPr>
          <w:rFonts w:ascii="Times New Roman" w:hAnsi="Times New Roman" w:eastAsia="Times New Roman"/>
        </w:rPr>
        <w:t xml:space="preserve">2 </w:t>
      </w:r>
      <w:r>
        <w:t>位</w:t>
      </w:r>
      <w:r>
        <w:rPr>
          <w:spacing w:val="-7"/>
        </w:rPr>
        <w:t>）</w:t>
      </w:r>
      <w:r>
        <w:rPr>
          <w:spacing w:val="-2"/>
        </w:rPr>
        <w:t>专家评议意见为“不合格”的</w:t>
      </w:r>
      <w:r>
        <w:rPr>
          <w:spacing w:val="-4"/>
        </w:rPr>
        <w:t>毕业论文，将认定为“存在问题毕业论文”。</w:t>
      </w:r>
      <w:r>
        <w:rPr>
          <w:rFonts w:ascii="Times New Roman" w:hAnsi="Times New Roman" w:eastAsia="Times New Roman"/>
        </w:rPr>
        <w:t xml:space="preserve">3 </w:t>
      </w:r>
      <w:r>
        <w:rPr>
          <w:spacing w:val="-11"/>
        </w:rPr>
        <w:t xml:space="preserve">位专家中有 </w:t>
      </w:r>
      <w:r>
        <w:rPr>
          <w:rFonts w:ascii="Times New Roman" w:hAnsi="Times New Roman" w:eastAsia="Times New Roman"/>
        </w:rPr>
        <w:t xml:space="preserve">1 </w:t>
      </w:r>
      <w:r>
        <w:rPr>
          <w:spacing w:val="-16"/>
        </w:rPr>
        <w:t>位</w:t>
      </w:r>
      <w:r>
        <w:rPr>
          <w:spacing w:val="-5"/>
          <w:w w:val="99"/>
        </w:rPr>
        <w:t>专家评议意见为“不合格”，将再送</w:t>
      </w:r>
      <w:r>
        <w:rPr>
          <w:spacing w:val="-71"/>
        </w:rPr>
        <w:t xml:space="preserve"> </w:t>
      </w:r>
      <w:r>
        <w:rPr>
          <w:rFonts w:ascii="Times New Roman" w:hAnsi="Times New Roman" w:eastAsia="Times New Roman"/>
          <w:w w:val="99"/>
        </w:rPr>
        <w:t>2</w:t>
      </w:r>
      <w:r>
        <w:rPr>
          <w:rFonts w:ascii="Times New Roman" w:hAnsi="Times New Roman" w:eastAsia="Times New Roman"/>
        </w:rPr>
        <w:t xml:space="preserve"> </w:t>
      </w:r>
      <w:r>
        <w:rPr>
          <w:spacing w:val="7"/>
          <w:w w:val="99"/>
        </w:rPr>
        <w:t>位同行专家进行复评。</w:t>
      </w:r>
      <w:r>
        <w:rPr>
          <w:rFonts w:ascii="Times New Roman" w:hAnsi="Times New Roman" w:eastAsia="Times New Roman"/>
          <w:w w:val="99"/>
        </w:rPr>
        <w:t>2</w:t>
      </w:r>
    </w:p>
    <w:p>
      <w:pPr>
        <w:pStyle w:val="6"/>
        <w:spacing w:before="4" w:line="350" w:lineRule="auto"/>
        <w:ind w:left="111" w:right="108"/>
        <w:jc w:val="both"/>
      </w:pPr>
      <w:r>
        <w:rPr>
          <w:w w:val="99"/>
        </w:rPr>
        <w:t>位复评专家中有</w:t>
      </w:r>
      <w:r>
        <w:rPr>
          <w:spacing w:val="-79"/>
        </w:rPr>
        <w:t xml:space="preserve"> </w:t>
      </w:r>
      <w:r>
        <w:rPr>
          <w:rFonts w:ascii="Times New Roman" w:hAnsi="Times New Roman" w:eastAsia="Times New Roman"/>
          <w:w w:val="99"/>
        </w:rPr>
        <w:t>1</w:t>
      </w:r>
      <w:r>
        <w:rPr>
          <w:rFonts w:ascii="Times New Roman" w:hAnsi="Times New Roman" w:eastAsia="Times New Roman"/>
        </w:rPr>
        <w:t xml:space="preserve"> </w:t>
      </w:r>
      <w:r>
        <w:rPr>
          <w:spacing w:val="-13"/>
          <w:w w:val="99"/>
        </w:rPr>
        <w:t>位以上</w:t>
      </w:r>
      <w:r>
        <w:rPr>
          <w:w w:val="99"/>
        </w:rPr>
        <w:t>（含</w:t>
      </w:r>
      <w:r>
        <w:rPr>
          <w:spacing w:val="-81"/>
        </w:rPr>
        <w:t xml:space="preserve"> </w:t>
      </w:r>
      <w:r>
        <w:rPr>
          <w:rFonts w:ascii="Times New Roman" w:hAnsi="Times New Roman" w:eastAsia="Times New Roman"/>
          <w:w w:val="99"/>
        </w:rPr>
        <w:t>1</w:t>
      </w:r>
      <w:r>
        <w:rPr>
          <w:rFonts w:ascii="Times New Roman" w:hAnsi="Times New Roman" w:eastAsia="Times New Roman"/>
        </w:rPr>
        <w:t xml:space="preserve"> </w:t>
      </w:r>
      <w:r>
        <w:rPr>
          <w:spacing w:val="2"/>
          <w:w w:val="99"/>
        </w:rPr>
        <w:t>位</w:t>
      </w:r>
      <w:r>
        <w:rPr>
          <w:spacing w:val="-39"/>
          <w:w w:val="99"/>
        </w:rPr>
        <w:t>）</w:t>
      </w:r>
      <w:r>
        <w:rPr>
          <w:spacing w:val="-18"/>
          <w:w w:val="99"/>
        </w:rPr>
        <w:t>专家评议意见为“不合格”，</w:t>
      </w:r>
      <w:r>
        <w:rPr>
          <w:spacing w:val="-28"/>
        </w:rPr>
        <w:t>将认定为“存在问题毕业论文”。</w:t>
      </w:r>
    </w:p>
    <w:p>
      <w:pPr>
        <w:spacing w:after="0" w:line="350" w:lineRule="auto"/>
        <w:jc w:val="both"/>
        <w:sectPr>
          <w:pgSz w:w="11910" w:h="16840"/>
          <w:pgMar w:top="1580" w:right="1260" w:bottom="1620" w:left="1420" w:header="0" w:footer="1427" w:gutter="0"/>
          <w:cols w:space="720" w:num="1"/>
        </w:sectPr>
      </w:pPr>
    </w:p>
    <w:p>
      <w:pPr>
        <w:pStyle w:val="6"/>
        <w:spacing w:before="2"/>
        <w:rPr>
          <w:sz w:val="25"/>
        </w:rPr>
      </w:pPr>
    </w:p>
    <w:p>
      <w:pPr>
        <w:pStyle w:val="6"/>
        <w:spacing w:before="55"/>
        <w:ind w:left="914" w:right="1074"/>
        <w:jc w:val="center"/>
        <w:rPr>
          <w:rFonts w:hint="eastAsia" w:ascii="黑体" w:eastAsia="黑体"/>
        </w:rPr>
      </w:pPr>
      <w:r>
        <w:rPr>
          <w:rFonts w:hint="eastAsia" w:ascii="黑体" w:eastAsia="黑体"/>
        </w:rPr>
        <w:t>第四章 结果反馈与使用</w:t>
      </w:r>
    </w:p>
    <w:p>
      <w:pPr>
        <w:pStyle w:val="6"/>
        <w:spacing w:before="190" w:line="350" w:lineRule="auto"/>
        <w:ind w:left="111" w:right="269" w:firstLine="640"/>
      </w:pPr>
      <w:r>
        <w:rPr>
          <w:rFonts w:hint="eastAsia" w:ascii="楷体" w:eastAsia="楷体"/>
          <w:b/>
        </w:rPr>
        <w:t xml:space="preserve">第十一条 </w:t>
      </w:r>
      <w:r>
        <w:t>本科毕业论文抽检结果由省级教育行政部门向有关高校反馈、抄送省级学位委员会，同时报教育部备案。</w:t>
      </w:r>
    </w:p>
    <w:p>
      <w:pPr>
        <w:spacing w:before="3"/>
        <w:ind w:left="751" w:right="0" w:firstLine="0"/>
        <w:jc w:val="left"/>
        <w:rPr>
          <w:sz w:val="32"/>
        </w:rPr>
      </w:pPr>
      <w:r>
        <w:rPr>
          <w:rFonts w:hint="eastAsia" w:ascii="楷体" w:eastAsia="楷体"/>
          <w:b/>
          <w:sz w:val="32"/>
        </w:rPr>
        <w:t xml:space="preserve">第十二条 </w:t>
      </w:r>
      <w:r>
        <w:rPr>
          <w:sz w:val="32"/>
        </w:rPr>
        <w:t>本科毕业论文抽检结果的使用。</w:t>
      </w:r>
    </w:p>
    <w:p>
      <w:pPr>
        <w:pStyle w:val="6"/>
        <w:spacing w:before="190"/>
        <w:ind w:left="751"/>
      </w:pPr>
      <w:r>
        <w:t>（一）抽检结果以适当方式向社会公开。</w:t>
      </w:r>
    </w:p>
    <w:p>
      <w:pPr>
        <w:pStyle w:val="6"/>
        <w:spacing w:before="190" w:line="350" w:lineRule="auto"/>
        <w:ind w:left="111" w:right="153" w:firstLine="640"/>
      </w:pPr>
      <w:r>
        <w:rPr>
          <w:spacing w:val="2"/>
          <w:w w:val="99"/>
        </w:rPr>
        <w:t>（二）</w:t>
      </w:r>
      <w:r>
        <w:rPr>
          <w:spacing w:val="1"/>
          <w:w w:val="99"/>
        </w:rPr>
        <w:t>对连续</w:t>
      </w:r>
      <w:r>
        <w:rPr>
          <w:spacing w:val="-79"/>
        </w:rPr>
        <w:t xml:space="preserve"> </w:t>
      </w:r>
      <w:r>
        <w:rPr>
          <w:rFonts w:ascii="Times New Roman" w:hAnsi="Times New Roman" w:eastAsia="Times New Roman"/>
          <w:w w:val="99"/>
        </w:rPr>
        <w:t>2</w:t>
      </w:r>
      <w:r>
        <w:rPr>
          <w:rFonts w:ascii="Times New Roman" w:hAnsi="Times New Roman" w:eastAsia="Times New Roman"/>
          <w:spacing w:val="2"/>
        </w:rPr>
        <w:t xml:space="preserve"> </w:t>
      </w:r>
      <w:r>
        <w:rPr>
          <w:spacing w:val="-11"/>
          <w:w w:val="99"/>
        </w:rPr>
        <w:t>年均有“存在问题毕业论文”，且比例较高</w:t>
      </w:r>
      <w:r>
        <w:rPr>
          <w:spacing w:val="-11"/>
        </w:rPr>
        <w:t xml:space="preserve">或篇数较多的高校，省级教育行政部门应在本省域内予以通报， </w:t>
      </w:r>
      <w:r>
        <w:rPr>
          <w:spacing w:val="-15"/>
        </w:rPr>
        <w:t>减少其招生计划，并进行质量约谈，提出限期整改要求。高校应</w:t>
      </w:r>
      <w:r>
        <w:rPr>
          <w:spacing w:val="-14"/>
        </w:rPr>
        <w:t>对有关部门、学院和个人的人才培养责任落实情况进行调查，依据有关规定予以追责。</w:t>
      </w:r>
    </w:p>
    <w:p>
      <w:pPr>
        <w:pStyle w:val="6"/>
        <w:spacing w:before="7" w:line="350" w:lineRule="auto"/>
        <w:ind w:left="111" w:right="269" w:firstLine="640"/>
        <w:jc w:val="both"/>
      </w:pPr>
      <w:r>
        <w:t>（三</w:t>
      </w:r>
      <w:r>
        <w:rPr>
          <w:spacing w:val="-58"/>
        </w:rPr>
        <w:t>）</w:t>
      </w:r>
      <w:r>
        <w:rPr>
          <w:spacing w:val="-22"/>
        </w:rPr>
        <w:t xml:space="preserve">对连续 </w:t>
      </w:r>
      <w:r>
        <w:rPr>
          <w:rFonts w:ascii="Times New Roman" w:eastAsia="Times New Roman"/>
        </w:rPr>
        <w:t xml:space="preserve">3 </w:t>
      </w:r>
      <w:r>
        <w:rPr>
          <w:spacing w:val="-4"/>
        </w:rPr>
        <w:t>年抽检存在问题较多的本科专业，经整改仍</w:t>
      </w:r>
      <w:r>
        <w:rPr>
          <w:spacing w:val="-12"/>
        </w:rPr>
        <w:t>无法达到要求者，视为不能保证培养质量，省级教育行政部门应</w:t>
      </w:r>
      <w:r>
        <w:rPr>
          <w:spacing w:val="-17"/>
        </w:rPr>
        <w:t>依据有关规定责令其暂停招生，或由省级学位委员会撤销其学士学位授权点。</w:t>
      </w:r>
    </w:p>
    <w:p>
      <w:pPr>
        <w:pStyle w:val="6"/>
        <w:spacing w:before="5" w:line="350" w:lineRule="auto"/>
        <w:ind w:left="111" w:right="153" w:firstLine="640"/>
      </w:pPr>
      <w:r>
        <w:t>（四）对涉嫌存在抄袭、剽窃、伪造、篡改、买卖、代写等学术不端行为的毕业论文，高校应按照相关程序进行调查核实， 对查实的应依法撤销已授予学位，并注销学位证书。</w:t>
      </w:r>
    </w:p>
    <w:p>
      <w:pPr>
        <w:pStyle w:val="6"/>
        <w:spacing w:before="4" w:line="350" w:lineRule="auto"/>
        <w:ind w:left="111" w:right="269" w:firstLine="640"/>
        <w:jc w:val="both"/>
      </w:pPr>
      <w:r>
        <w:rPr>
          <w:w w:val="95"/>
        </w:rPr>
        <w:t>（五</w:t>
      </w:r>
      <w:r>
        <w:rPr>
          <w:spacing w:val="-58"/>
          <w:w w:val="95"/>
        </w:rPr>
        <w:t>）</w:t>
      </w:r>
      <w:r>
        <w:rPr>
          <w:spacing w:val="-4"/>
          <w:w w:val="95"/>
        </w:rPr>
        <w:t xml:space="preserve">抽检结果将作为本科教育教学评估、一流本科专业建 </w:t>
      </w:r>
      <w:r>
        <w:rPr>
          <w:spacing w:val="-12"/>
          <w:w w:val="95"/>
        </w:rPr>
        <w:t xml:space="preserve">设、本科专业认证以及专业建设经费投入等教育资源配置的重要 </w:t>
      </w:r>
      <w:r>
        <w:rPr>
          <w:spacing w:val="-12"/>
        </w:rPr>
        <w:t>参考依据。</w:t>
      </w:r>
    </w:p>
    <w:p>
      <w:pPr>
        <w:spacing w:after="0" w:line="350" w:lineRule="auto"/>
        <w:jc w:val="both"/>
        <w:sectPr>
          <w:pgSz w:w="11910" w:h="16840"/>
          <w:pgMar w:top="1580" w:right="1260" w:bottom="1620" w:left="1420" w:header="0" w:footer="1427" w:gutter="0"/>
          <w:cols w:space="720" w:num="1"/>
        </w:sectPr>
      </w:pPr>
    </w:p>
    <w:p>
      <w:pPr>
        <w:pStyle w:val="6"/>
        <w:spacing w:before="2"/>
        <w:rPr>
          <w:sz w:val="25"/>
        </w:rPr>
      </w:pPr>
    </w:p>
    <w:p>
      <w:pPr>
        <w:pStyle w:val="6"/>
        <w:spacing w:before="55"/>
        <w:ind w:left="914" w:right="1074"/>
        <w:jc w:val="center"/>
        <w:rPr>
          <w:rFonts w:hint="eastAsia" w:ascii="黑体" w:eastAsia="黑体"/>
        </w:rPr>
      </w:pPr>
      <w:r>
        <w:rPr>
          <w:rFonts w:hint="eastAsia" w:ascii="黑体" w:eastAsia="黑体"/>
        </w:rPr>
        <w:t>第五章 监督与保障</w:t>
      </w:r>
    </w:p>
    <w:p>
      <w:pPr>
        <w:pStyle w:val="6"/>
        <w:spacing w:before="190" w:line="350" w:lineRule="auto"/>
        <w:ind w:left="111" w:right="269" w:firstLine="640"/>
        <w:jc w:val="both"/>
      </w:pPr>
      <w:r>
        <w:rPr>
          <w:rFonts w:hint="eastAsia" w:ascii="楷体" w:eastAsia="楷体"/>
          <w:b/>
          <w:spacing w:val="4"/>
        </w:rPr>
        <w:t xml:space="preserve">第十三条 </w:t>
      </w:r>
      <w:r>
        <w:t>教育部定期对各省级教育行政部门本科毕业论文</w:t>
      </w:r>
      <w:r>
        <w:rPr>
          <w:spacing w:val="-9"/>
        </w:rPr>
        <w:t>抽检工作情况开展监督检查，并将工作情况纳入省级人民政府履行教育职责评价的范畴。</w:t>
      </w:r>
    </w:p>
    <w:p>
      <w:pPr>
        <w:pStyle w:val="6"/>
        <w:spacing w:before="4" w:line="350" w:lineRule="auto"/>
        <w:ind w:left="111" w:right="269" w:firstLine="640"/>
        <w:jc w:val="both"/>
      </w:pPr>
      <w:r>
        <w:rPr>
          <w:rFonts w:hint="eastAsia" w:ascii="楷体" w:eastAsia="楷体"/>
          <w:b/>
        </w:rPr>
        <w:t xml:space="preserve">第十四条 </w:t>
      </w:r>
      <w:r>
        <w:t>省级教育行政部门应保障本科毕业论文抽检工作经费，列入年度工作预算，确保抽检工作顺利开展。</w:t>
      </w:r>
    </w:p>
    <w:p>
      <w:pPr>
        <w:pStyle w:val="6"/>
        <w:spacing w:before="3" w:line="350" w:lineRule="auto"/>
        <w:ind w:left="111" w:right="269" w:firstLine="640"/>
        <w:jc w:val="both"/>
      </w:pPr>
      <w:r>
        <w:rPr>
          <w:rFonts w:hint="eastAsia" w:ascii="楷体" w:eastAsia="楷体"/>
          <w:b/>
        </w:rPr>
        <w:t xml:space="preserve">第十五条 </w:t>
      </w:r>
      <w:r>
        <w:t>省级教育行政部门应建立本科毕业论文抽检申诉机制，规范申诉处理程序，保障有关高校和学生的合法权益。</w:t>
      </w:r>
    </w:p>
    <w:p>
      <w:pPr>
        <w:pStyle w:val="6"/>
        <w:spacing w:before="3" w:line="350" w:lineRule="auto"/>
        <w:ind w:left="111" w:right="269" w:firstLine="640"/>
        <w:jc w:val="both"/>
      </w:pPr>
      <w:r>
        <w:rPr>
          <w:rFonts w:hint="eastAsia" w:ascii="楷体" w:eastAsia="楷体"/>
          <w:b/>
          <w:spacing w:val="4"/>
        </w:rPr>
        <w:t xml:space="preserve">第十六条 </w:t>
      </w:r>
      <w:r>
        <w:t>各有关高校应按照所在地省级教育行政部门的有</w:t>
      </w:r>
      <w:r>
        <w:rPr>
          <w:spacing w:val="-11"/>
        </w:rPr>
        <w:t>关要求，积极配合本科毕业论文抽检工作，准确完整地提供本科毕业论文、学位授予信息等材料。</w:t>
      </w:r>
    </w:p>
    <w:p>
      <w:pPr>
        <w:pStyle w:val="6"/>
        <w:spacing w:before="160"/>
        <w:ind w:left="914" w:right="1074"/>
        <w:jc w:val="center"/>
        <w:rPr>
          <w:rFonts w:hint="eastAsia" w:ascii="黑体" w:eastAsia="黑体"/>
        </w:rPr>
      </w:pPr>
      <w:r>
        <w:rPr>
          <w:rFonts w:hint="eastAsia" w:ascii="黑体" w:eastAsia="黑体"/>
        </w:rPr>
        <w:t>第六章 附则</w:t>
      </w:r>
    </w:p>
    <w:p>
      <w:pPr>
        <w:pStyle w:val="6"/>
        <w:spacing w:before="190" w:line="350" w:lineRule="auto"/>
        <w:ind w:left="111" w:right="108" w:firstLine="640"/>
      </w:pPr>
      <w:r>
        <w:rPr>
          <w:rFonts w:hint="eastAsia" w:ascii="楷体" w:eastAsia="楷体"/>
          <w:b/>
          <w:spacing w:val="-3"/>
        </w:rPr>
        <w:t xml:space="preserve">第十七条 </w:t>
      </w:r>
      <w:r>
        <w:rPr>
          <w:spacing w:val="-8"/>
        </w:rPr>
        <w:t xml:space="preserve">省级教育行政部门要参照本办法，结合地方实际， </w:t>
      </w:r>
      <w:r>
        <w:rPr>
          <w:spacing w:val="-14"/>
        </w:rPr>
        <w:t>制定本省</w:t>
      </w:r>
      <w:r>
        <w:t>（</w:t>
      </w:r>
      <w:r>
        <w:rPr>
          <w:spacing w:val="-10"/>
        </w:rPr>
        <w:t>区、市</w:t>
      </w:r>
      <w:r>
        <w:rPr>
          <w:spacing w:val="-27"/>
        </w:rPr>
        <w:t>）</w:t>
      </w:r>
      <w:r>
        <w:rPr>
          <w:spacing w:val="-2"/>
        </w:rPr>
        <w:t>本科毕业论文抽检工作实施细则，并报教育部备案。</w:t>
      </w:r>
    </w:p>
    <w:p>
      <w:pPr>
        <w:spacing w:before="4"/>
        <w:ind w:left="751" w:right="0" w:firstLine="0"/>
        <w:jc w:val="left"/>
        <w:rPr>
          <w:sz w:val="32"/>
        </w:rPr>
      </w:pPr>
      <w:r>
        <w:rPr>
          <w:rFonts w:hint="eastAsia" w:ascii="楷体" w:eastAsia="楷体"/>
          <w:b/>
          <w:sz w:val="32"/>
        </w:rPr>
        <w:t xml:space="preserve">第十八条 </w:t>
      </w:r>
      <w:r>
        <w:rPr>
          <w:sz w:val="32"/>
        </w:rPr>
        <w:t>本办法由教育部负责解释。</w:t>
      </w:r>
    </w:p>
    <w:p>
      <w:pPr>
        <w:pStyle w:val="6"/>
        <w:spacing w:before="190"/>
        <w:ind w:left="751"/>
        <w:sectPr>
          <w:pgSz w:w="11910" w:h="16840"/>
          <w:pgMar w:top="1417" w:right="1417" w:bottom="1247" w:left="1420" w:header="0" w:footer="1427" w:gutter="0"/>
          <w:cols w:space="720" w:num="1"/>
        </w:sectPr>
      </w:pPr>
      <w:r>
        <w:rPr>
          <w:rFonts w:hint="eastAsia" w:ascii="楷体" w:eastAsia="楷体"/>
          <w:b/>
        </w:rPr>
        <w:t xml:space="preserve">第十九条 </w:t>
      </w:r>
      <w:r>
        <w:t xml:space="preserve">本办法自 </w:t>
      </w:r>
      <w:r>
        <w:rPr>
          <w:rFonts w:ascii="Times New Roman" w:eastAsia="Times New Roman"/>
        </w:rPr>
        <w:t xml:space="preserve">2021 </w:t>
      </w:r>
      <w:r>
        <w:t xml:space="preserve">年 </w:t>
      </w:r>
      <w:r>
        <w:rPr>
          <w:rFonts w:ascii="Times New Roman" w:eastAsia="Times New Roman"/>
        </w:rPr>
        <w:t xml:space="preserve">1 </w:t>
      </w:r>
      <w:r>
        <w:t xml:space="preserve">月 </w:t>
      </w:r>
      <w:r>
        <w:rPr>
          <w:rFonts w:ascii="Times New Roman" w:eastAsia="Times New Roman"/>
        </w:rPr>
        <w:t xml:space="preserve">1 </w:t>
      </w:r>
      <w:r>
        <w:t>日起施行。</w:t>
      </w:r>
    </w:p>
    <w:p>
      <w:pPr>
        <w:pStyle w:val="6"/>
        <w:rPr>
          <w:sz w:val="20"/>
        </w:rPr>
      </w:pPr>
    </w:p>
    <w:p>
      <w:pPr>
        <w:pStyle w:val="6"/>
        <w:rPr>
          <w:sz w:val="20"/>
        </w:rPr>
      </w:pPr>
    </w:p>
    <w:p>
      <w:pPr>
        <w:pStyle w:val="6"/>
        <w:rPr>
          <w:sz w:val="20"/>
        </w:rPr>
      </w:pPr>
    </w:p>
    <w:p>
      <w:pPr>
        <w:pStyle w:val="6"/>
        <w:rPr>
          <w:sz w:val="20"/>
        </w:rPr>
      </w:pPr>
    </w:p>
    <w:p>
      <w:pPr>
        <w:pStyle w:val="6"/>
        <w:rPr>
          <w:sz w:val="20"/>
        </w:rPr>
      </w:pPr>
    </w:p>
    <w:p>
      <w:pPr>
        <w:pStyle w:val="6"/>
        <w:rPr>
          <w:sz w:val="20"/>
        </w:rPr>
      </w:pPr>
    </w:p>
    <w:p>
      <w:pPr>
        <w:pStyle w:val="6"/>
        <w:rPr>
          <w:sz w:val="20"/>
        </w:rPr>
      </w:pPr>
    </w:p>
    <w:p>
      <w:pPr>
        <w:pStyle w:val="6"/>
        <w:rPr>
          <w:sz w:val="20"/>
        </w:rPr>
      </w:pPr>
    </w:p>
    <w:p>
      <w:pPr>
        <w:pStyle w:val="6"/>
        <w:rPr>
          <w:sz w:val="20"/>
        </w:rPr>
      </w:pPr>
    </w:p>
    <w:p>
      <w:pPr>
        <w:pStyle w:val="6"/>
        <w:rPr>
          <w:sz w:val="20"/>
        </w:rPr>
      </w:pPr>
    </w:p>
    <w:p>
      <w:pPr>
        <w:pStyle w:val="6"/>
        <w:rPr>
          <w:sz w:val="20"/>
        </w:rPr>
      </w:pPr>
    </w:p>
    <w:p>
      <w:pPr>
        <w:pStyle w:val="6"/>
        <w:rPr>
          <w:sz w:val="20"/>
        </w:rPr>
      </w:pPr>
    </w:p>
    <w:p>
      <w:pPr>
        <w:pStyle w:val="6"/>
        <w:rPr>
          <w:sz w:val="20"/>
        </w:rPr>
      </w:pPr>
    </w:p>
    <w:p>
      <w:pPr>
        <w:pStyle w:val="6"/>
        <w:rPr>
          <w:sz w:val="20"/>
        </w:rPr>
      </w:pPr>
    </w:p>
    <w:p>
      <w:pPr>
        <w:pStyle w:val="6"/>
        <w:rPr>
          <w:sz w:val="20"/>
        </w:rPr>
      </w:pPr>
    </w:p>
    <w:p>
      <w:pPr>
        <w:pStyle w:val="6"/>
        <w:rPr>
          <w:sz w:val="20"/>
        </w:rPr>
      </w:pPr>
    </w:p>
    <w:p>
      <w:pPr>
        <w:pStyle w:val="6"/>
        <w:rPr>
          <w:sz w:val="20"/>
        </w:rPr>
      </w:pPr>
    </w:p>
    <w:p>
      <w:pPr>
        <w:pStyle w:val="6"/>
        <w:rPr>
          <w:sz w:val="20"/>
        </w:rPr>
      </w:pPr>
    </w:p>
    <w:p>
      <w:pPr>
        <w:pStyle w:val="6"/>
        <w:rPr>
          <w:sz w:val="20"/>
        </w:rPr>
      </w:pPr>
    </w:p>
    <w:p>
      <w:pPr>
        <w:pStyle w:val="6"/>
        <w:rPr>
          <w:sz w:val="20"/>
        </w:rPr>
      </w:pPr>
    </w:p>
    <w:p>
      <w:pPr>
        <w:pStyle w:val="6"/>
        <w:rPr>
          <w:sz w:val="20"/>
        </w:rPr>
      </w:pPr>
    </w:p>
    <w:p>
      <w:pPr>
        <w:pStyle w:val="6"/>
        <w:rPr>
          <w:sz w:val="20"/>
        </w:rPr>
      </w:pPr>
    </w:p>
    <w:p>
      <w:pPr>
        <w:pStyle w:val="6"/>
        <w:rPr>
          <w:sz w:val="20"/>
        </w:rPr>
      </w:pPr>
    </w:p>
    <w:p>
      <w:pPr>
        <w:pStyle w:val="6"/>
        <w:rPr>
          <w:sz w:val="20"/>
        </w:rPr>
      </w:pPr>
    </w:p>
    <w:p>
      <w:pPr>
        <w:pStyle w:val="6"/>
        <w:rPr>
          <w:sz w:val="20"/>
        </w:rPr>
      </w:pPr>
    </w:p>
    <w:p>
      <w:pPr>
        <w:pStyle w:val="6"/>
        <w:rPr>
          <w:sz w:val="20"/>
        </w:rPr>
      </w:pPr>
    </w:p>
    <w:p>
      <w:pPr>
        <w:pStyle w:val="6"/>
        <w:rPr>
          <w:sz w:val="20"/>
        </w:rPr>
      </w:pPr>
    </w:p>
    <w:p>
      <w:pPr>
        <w:pStyle w:val="6"/>
        <w:rPr>
          <w:sz w:val="20"/>
        </w:rPr>
      </w:pPr>
    </w:p>
    <w:p>
      <w:pPr>
        <w:pStyle w:val="6"/>
        <w:rPr>
          <w:sz w:val="20"/>
        </w:rPr>
      </w:pPr>
    </w:p>
    <w:p>
      <w:pPr>
        <w:pStyle w:val="6"/>
        <w:rPr>
          <w:sz w:val="20"/>
        </w:rPr>
      </w:pPr>
    </w:p>
    <w:p>
      <w:pPr>
        <w:pStyle w:val="6"/>
        <w:rPr>
          <w:sz w:val="20"/>
        </w:rPr>
      </w:pPr>
    </w:p>
    <w:p>
      <w:pPr>
        <w:pStyle w:val="6"/>
        <w:spacing w:before="2"/>
        <w:rPr>
          <w:sz w:val="28"/>
        </w:rPr>
      </w:pPr>
    </w:p>
    <w:p>
      <w:pPr>
        <w:spacing w:before="62" w:after="75"/>
        <w:ind w:left="111" w:right="0" w:firstLine="0"/>
        <w:jc w:val="left"/>
        <w:rPr>
          <w:sz w:val="28"/>
        </w:rPr>
      </w:pPr>
      <w:r>
        <w:rPr>
          <w:sz w:val="28"/>
        </w:rPr>
        <w:t>（此件主动公开）</w:t>
      </w:r>
    </w:p>
    <w:p>
      <w:pPr>
        <w:pStyle w:val="6"/>
        <w:spacing w:line="20" w:lineRule="exact"/>
        <w:ind w:left="-2"/>
        <w:rPr>
          <w:sz w:val="2"/>
        </w:rPr>
      </w:pPr>
      <w:r>
        <w:rPr>
          <w:sz w:val="2"/>
        </w:rPr>
        <mc:AlternateContent>
          <mc:Choice Requires="wpg">
            <w:drawing>
              <wp:inline distT="0" distB="0" distL="114300" distR="114300">
                <wp:extent cx="5606415" cy="6350"/>
                <wp:effectExtent l="0" t="0" r="0" b="0"/>
                <wp:docPr id="6" name="组合 6"/>
                <wp:cNvGraphicFramePr/>
                <a:graphic xmlns:a="http://schemas.openxmlformats.org/drawingml/2006/main">
                  <a:graphicData uri="http://schemas.microsoft.com/office/word/2010/wordprocessingGroup">
                    <wpg:wgp>
                      <wpg:cNvGrpSpPr/>
                      <wpg:grpSpPr>
                        <a:xfrm>
                          <a:off x="0" y="0"/>
                          <a:ext cx="5606415" cy="6350"/>
                          <a:chOff x="0" y="0"/>
                          <a:chExt cx="8829" cy="10"/>
                        </a:xfrm>
                      </wpg:grpSpPr>
                      <wps:wsp>
                        <wps:cNvPr id="5" name="直接连接符 5"/>
                        <wps:cNvCnPr/>
                        <wps:spPr>
                          <a:xfrm>
                            <a:off x="0" y="5"/>
                            <a:ext cx="8829" cy="0"/>
                          </a:xfrm>
                          <a:prstGeom prst="line">
                            <a:avLst/>
                          </a:prstGeom>
                          <a:ln w="6096" cap="flat" cmpd="sng">
                            <a:solidFill>
                              <a:srgbClr val="000000"/>
                            </a:solidFill>
                            <a:prstDash val="solid"/>
                            <a:headEnd type="none" w="med" len="med"/>
                            <a:tailEnd type="none" w="med" len="med"/>
                          </a:ln>
                        </wps:spPr>
                        <wps:bodyPr upright="1"/>
                      </wps:wsp>
                    </wpg:wgp>
                  </a:graphicData>
                </a:graphic>
              </wp:inline>
            </w:drawing>
          </mc:Choice>
          <mc:Fallback>
            <w:pict>
              <v:group id="_x0000_s1026" o:spid="_x0000_s1026" o:spt="203" style="height:0.5pt;width:441.45pt;" coordsize="8829,10" o:gfxdata="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Ja0i0/UAAAAAwEA&#10;AA8AAAAAAAAAAQAgAAAAIgAAAGRycy9kb3ducmV2LnhtbFBLAQIUABQAAAAIAIdO4kCVcEGaVwIA&#10;AAcFAAAOAAAAAAAAAAEAIAAAACMBAABkcnMvZTJvRG9jLnhtbFBLBQYAAAAABgAGAFkBAADsBQAA&#10;AAA=&#10;">
                <o:lock v:ext="edit" aspectratio="f"/>
                <v:line id="_x0000_s1026" o:spid="_x0000_s1026" o:spt="20" style="position:absolute;left:0;top:5;height:0;width:8829;" filled="f" stroked="t" coordsize="21600,21600" o:gfxdata="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LdVbAq8AAAA&#10;2gAAAA8AAAAAAAAAAQAgAAAAIgAAAGRycy9kb3ducmV2LnhtbFBLAQIUABQAAAAIAIdO4kAzLwWe&#10;OwAAADkAAAAQAAAAAAAAAAEAIAAAAAsBAABkcnMvc2hhcGV4bWwueG1sUEsFBgAAAAAGAAYAWwEA&#10;ALUDAAAAAA==&#10;">
                  <v:fill on="f" focussize="0,0"/>
                  <v:stroke weight="0.48pt" color="#000000" joinstyle="round"/>
                  <v:imagedata o:title=""/>
                  <o:lock v:ext="edit" aspectratio="f"/>
                </v:line>
                <w10:wrap type="none"/>
                <w10:anchorlock/>
              </v:group>
            </w:pict>
          </mc:Fallback>
        </mc:AlternateContent>
      </w:r>
    </w:p>
    <w:p>
      <w:pPr>
        <w:tabs>
          <w:tab w:val="left" w:pos="951"/>
        </w:tabs>
        <w:spacing w:before="0" w:line="281" w:lineRule="exact"/>
        <w:ind w:left="111" w:right="0" w:firstLine="0"/>
        <w:jc w:val="left"/>
        <w:rPr>
          <w:sz w:val="28"/>
        </w:rPr>
      </w:pPr>
      <w:r>
        <w:rPr>
          <w:sz w:val="28"/>
        </w:rPr>
        <w:t>抄</w:t>
      </w:r>
      <w:r>
        <w:rPr>
          <w:sz w:val="28"/>
        </w:rPr>
        <w:tab/>
      </w:r>
      <w:r>
        <w:rPr>
          <w:sz w:val="28"/>
        </w:rPr>
        <w:t>送</w:t>
      </w:r>
      <w:r>
        <w:rPr>
          <w:spacing w:val="-3"/>
          <w:sz w:val="28"/>
        </w:rPr>
        <w:t>：</w:t>
      </w:r>
      <w:r>
        <w:rPr>
          <w:sz w:val="28"/>
        </w:rPr>
        <w:t>中国</w:t>
      </w:r>
      <w:r>
        <w:rPr>
          <w:spacing w:val="-3"/>
          <w:sz w:val="28"/>
        </w:rPr>
        <w:t>人</w:t>
      </w:r>
      <w:r>
        <w:rPr>
          <w:sz w:val="28"/>
        </w:rPr>
        <w:t>民解</w:t>
      </w:r>
      <w:r>
        <w:rPr>
          <w:spacing w:val="-3"/>
          <w:sz w:val="28"/>
        </w:rPr>
        <w:t>放</w:t>
      </w:r>
      <w:r>
        <w:rPr>
          <w:sz w:val="28"/>
        </w:rPr>
        <w:t>军学</w:t>
      </w:r>
      <w:r>
        <w:rPr>
          <w:spacing w:val="-3"/>
          <w:sz w:val="28"/>
        </w:rPr>
        <w:t>位</w:t>
      </w:r>
      <w:r>
        <w:rPr>
          <w:sz w:val="28"/>
        </w:rPr>
        <w:t>委员</w:t>
      </w:r>
      <w:r>
        <w:rPr>
          <w:spacing w:val="-3"/>
          <w:sz w:val="28"/>
        </w:rPr>
        <w:t>会</w:t>
      </w:r>
      <w:r>
        <w:rPr>
          <w:sz w:val="28"/>
        </w:rPr>
        <w:t>。</w:t>
      </w:r>
    </w:p>
    <w:p>
      <w:pPr>
        <w:spacing w:before="15" w:line="201" w:lineRule="auto"/>
        <w:ind w:left="1510" w:right="431" w:hanging="1400"/>
        <w:jc w:val="left"/>
        <w:rPr>
          <w:sz w:val="28"/>
        </w:rPr>
      </w:pPr>
      <w:r>
        <w:rPr>
          <w:sz w:val="28"/>
        </w:rPr>
        <w:t>部内发送：有关部领导，办公厅、高教司、学位办、规划司、财务司、政法司、职成司</w:t>
      </w:r>
    </w:p>
    <w:p>
      <w:pPr>
        <w:pStyle w:val="6"/>
        <w:spacing w:line="20" w:lineRule="exact"/>
        <w:ind w:left="-2"/>
        <w:rPr>
          <w:sz w:val="2"/>
        </w:rPr>
      </w:pPr>
      <w:r>
        <w:rPr>
          <w:sz w:val="2"/>
        </w:rPr>
        <mc:AlternateContent>
          <mc:Choice Requires="wpg">
            <w:drawing>
              <wp:inline distT="0" distB="0" distL="114300" distR="114300">
                <wp:extent cx="5606415" cy="6350"/>
                <wp:effectExtent l="0" t="0" r="0" b="0"/>
                <wp:docPr id="8" name="组合 8"/>
                <wp:cNvGraphicFramePr/>
                <a:graphic xmlns:a="http://schemas.openxmlformats.org/drawingml/2006/main">
                  <a:graphicData uri="http://schemas.microsoft.com/office/word/2010/wordprocessingGroup">
                    <wpg:wgp>
                      <wpg:cNvGrpSpPr/>
                      <wpg:grpSpPr>
                        <a:xfrm>
                          <a:off x="0" y="0"/>
                          <a:ext cx="5606415" cy="6350"/>
                          <a:chOff x="0" y="0"/>
                          <a:chExt cx="8829" cy="10"/>
                        </a:xfrm>
                      </wpg:grpSpPr>
                      <wps:wsp>
                        <wps:cNvPr id="7" name="直接连接符 7"/>
                        <wps:cNvCnPr/>
                        <wps:spPr>
                          <a:xfrm>
                            <a:off x="0" y="5"/>
                            <a:ext cx="8829" cy="0"/>
                          </a:xfrm>
                          <a:prstGeom prst="line">
                            <a:avLst/>
                          </a:prstGeom>
                          <a:ln w="6096" cap="flat" cmpd="sng">
                            <a:solidFill>
                              <a:srgbClr val="000000"/>
                            </a:solidFill>
                            <a:prstDash val="solid"/>
                            <a:headEnd type="none" w="med" len="med"/>
                            <a:tailEnd type="none" w="med" len="med"/>
                          </a:ln>
                        </wps:spPr>
                        <wps:bodyPr upright="1"/>
                      </wps:wsp>
                    </wpg:wgp>
                  </a:graphicData>
                </a:graphic>
              </wp:inline>
            </w:drawing>
          </mc:Choice>
          <mc:Fallback>
            <w:pict>
              <v:group id="_x0000_s1026" o:spid="_x0000_s1026" o:spt="203" style="height:0.5pt;width:441.45pt;" coordsize="8829,10" o:gfxdata="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CWtItP1AAAAAMB&#10;AAAPAAAAAAAAAAEAIAAAACIAAABkcnMvZG93bnJldi54bWxQSwECFAAUAAAACACHTuJAhxICT1gC&#10;AAAHBQAADgAAAAAAAAABACAAAAAjAQAAZHJzL2Uyb0RvYy54bWxQSwUGAAAAAAYABgBZAQAA7QUA&#10;AAAA&#10;">
                <o:lock v:ext="edit" aspectratio="f"/>
                <v:line id="_x0000_s1026" o:spid="_x0000_s1026" o:spt="20" style="position:absolute;left:0;top:5;height:0;width:8829;" filled="f" stroked="t" coordsize="21600,21600" o:gfxdata="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oy1fmvQAA&#10;ANoAAAAPAAAAAAAAAAEAIAAAACIAAABkcnMvZG93bnJldi54bWxQSwECFAAUAAAACACHTuJAMy8F&#10;njsAAAA5AAAAEAAAAAAAAAABACAAAAAMAQAAZHJzL3NoYXBleG1sLnhtbFBLBQYAAAAABgAGAFsB&#10;AAC2AwAAAAA=&#10;">
                  <v:fill on="f" focussize="0,0"/>
                  <v:stroke weight="0.48pt" color="#000000" joinstyle="round"/>
                  <v:imagedata o:title=""/>
                  <o:lock v:ext="edit" aspectratio="f"/>
                </v:line>
                <w10:wrap type="none"/>
                <w10:anchorlock/>
              </v:group>
            </w:pict>
          </mc:Fallback>
        </mc:AlternateContent>
      </w:r>
    </w:p>
    <w:p>
      <w:pPr>
        <w:tabs>
          <w:tab w:val="left" w:pos="5991"/>
        </w:tabs>
        <w:spacing w:before="38" w:after="77"/>
        <w:ind w:left="111" w:right="0" w:firstLine="0"/>
        <w:jc w:val="left"/>
        <w:rPr>
          <w:sz w:val="28"/>
        </w:rPr>
      </w:pPr>
      <w:r>
        <w:rPr>
          <w:sz w:val="28"/>
        </w:rPr>
        <w:t>教</w:t>
      </w:r>
      <w:r>
        <w:rPr>
          <w:spacing w:val="-3"/>
          <w:sz w:val="28"/>
        </w:rPr>
        <w:t>育</w:t>
      </w:r>
      <w:r>
        <w:rPr>
          <w:sz w:val="28"/>
        </w:rPr>
        <w:t>部办</w:t>
      </w:r>
      <w:r>
        <w:rPr>
          <w:spacing w:val="-3"/>
          <w:sz w:val="28"/>
        </w:rPr>
        <w:t>公</w:t>
      </w:r>
      <w:r>
        <w:rPr>
          <w:sz w:val="28"/>
        </w:rPr>
        <w:t>厅</w:t>
      </w:r>
      <w:r>
        <w:rPr>
          <w:sz w:val="28"/>
        </w:rPr>
        <w:tab/>
      </w:r>
      <w:r>
        <w:rPr>
          <w:rFonts w:ascii="Times New Roman" w:eastAsia="Times New Roman"/>
          <w:sz w:val="28"/>
        </w:rPr>
        <w:t>2021</w:t>
      </w:r>
      <w:r>
        <w:rPr>
          <w:rFonts w:ascii="Times New Roman" w:eastAsia="Times New Roman"/>
          <w:spacing w:val="-2"/>
          <w:sz w:val="28"/>
        </w:rPr>
        <w:t xml:space="preserve"> </w:t>
      </w:r>
      <w:r>
        <w:rPr>
          <w:sz w:val="28"/>
        </w:rPr>
        <w:t>年</w:t>
      </w:r>
      <w:r>
        <w:rPr>
          <w:spacing w:val="-71"/>
          <w:sz w:val="28"/>
        </w:rPr>
        <w:t xml:space="preserve"> </w:t>
      </w:r>
      <w:r>
        <w:rPr>
          <w:rFonts w:ascii="Times New Roman" w:eastAsia="Times New Roman"/>
          <w:sz w:val="28"/>
        </w:rPr>
        <w:t xml:space="preserve">1 </w:t>
      </w:r>
      <w:r>
        <w:rPr>
          <w:sz w:val="28"/>
        </w:rPr>
        <w:t>月</w:t>
      </w:r>
      <w:r>
        <w:rPr>
          <w:spacing w:val="-70"/>
          <w:sz w:val="28"/>
        </w:rPr>
        <w:t xml:space="preserve"> </w:t>
      </w:r>
      <w:r>
        <w:rPr>
          <w:rFonts w:ascii="Times New Roman" w:eastAsia="Times New Roman"/>
          <w:sz w:val="28"/>
        </w:rPr>
        <w:t>4</w:t>
      </w:r>
      <w:r>
        <w:rPr>
          <w:rFonts w:ascii="Times New Roman" w:eastAsia="Times New Roman"/>
          <w:spacing w:val="-2"/>
          <w:sz w:val="28"/>
        </w:rPr>
        <w:t xml:space="preserve"> </w:t>
      </w:r>
      <w:r>
        <w:rPr>
          <w:sz w:val="28"/>
        </w:rPr>
        <w:t>日</w:t>
      </w:r>
      <w:r>
        <w:rPr>
          <w:spacing w:val="-3"/>
          <w:sz w:val="28"/>
        </w:rPr>
        <w:t>印</w:t>
      </w:r>
      <w:r>
        <w:rPr>
          <w:sz w:val="28"/>
        </w:rPr>
        <w:t>发</w:t>
      </w:r>
    </w:p>
    <w:p>
      <w:pPr>
        <w:pStyle w:val="6"/>
        <w:spacing w:line="20" w:lineRule="exact"/>
        <w:ind w:left="-2"/>
        <w:rPr>
          <w:sz w:val="2"/>
        </w:rPr>
      </w:pPr>
      <w:r>
        <w:rPr>
          <w:sz w:val="2"/>
        </w:rPr>
        <mc:AlternateContent>
          <mc:Choice Requires="wpg">
            <w:drawing>
              <wp:inline distT="0" distB="0" distL="114300" distR="114300">
                <wp:extent cx="5606415" cy="6350"/>
                <wp:effectExtent l="0" t="0" r="0" b="0"/>
                <wp:docPr id="3" name="组合 3"/>
                <wp:cNvGraphicFramePr/>
                <a:graphic xmlns:a="http://schemas.openxmlformats.org/drawingml/2006/main">
                  <a:graphicData uri="http://schemas.microsoft.com/office/word/2010/wordprocessingGroup">
                    <wpg:wgp>
                      <wpg:cNvGrpSpPr/>
                      <wpg:grpSpPr>
                        <a:xfrm>
                          <a:off x="0" y="0"/>
                          <a:ext cx="5606415" cy="6350"/>
                          <a:chOff x="0" y="0"/>
                          <a:chExt cx="8829" cy="10"/>
                        </a:xfrm>
                      </wpg:grpSpPr>
                      <wps:wsp>
                        <wps:cNvPr id="2" name="直接连接符 2"/>
                        <wps:cNvCnPr/>
                        <wps:spPr>
                          <a:xfrm>
                            <a:off x="0" y="5"/>
                            <a:ext cx="8829" cy="0"/>
                          </a:xfrm>
                          <a:prstGeom prst="line">
                            <a:avLst/>
                          </a:prstGeom>
                          <a:ln w="6096" cap="flat" cmpd="sng">
                            <a:solidFill>
                              <a:srgbClr val="000000"/>
                            </a:solidFill>
                            <a:prstDash val="solid"/>
                            <a:headEnd type="none" w="med" len="med"/>
                            <a:tailEnd type="none" w="med" len="med"/>
                          </a:ln>
                        </wps:spPr>
                        <wps:bodyPr upright="1"/>
                      </wps:wsp>
                    </wpg:wgp>
                  </a:graphicData>
                </a:graphic>
              </wp:inline>
            </w:drawing>
          </mc:Choice>
          <mc:Fallback>
            <w:pict>
              <v:group id="_x0000_s1026" o:spid="_x0000_s1026" o:spt="203" style="height:0.5pt;width:441.45pt;" coordsize="8829,10" o:gfxdata="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CWtItP1AAAAAMB&#10;AAAPAAAAAAAAAAEAIAAAACIAAABkcnMvZG93bnJldi54bWxQSwECFAAUAAAACACHTuJAgRjziFgC&#10;AAAHBQAADgAAAAAAAAABACAAAAAjAQAAZHJzL2Uyb0RvYy54bWxQSwUGAAAAAAYABgBZAQAA7QUA&#10;AAAA&#10;">
                <o:lock v:ext="edit" aspectratio="f"/>
                <v:line id="_x0000_s1026" o:spid="_x0000_s1026" o:spt="20" style="position:absolute;left:0;top:5;height:0;width:8829;" filled="f" stroked="t" coordsize="21600,21600" o:gfxdata="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Di89H68AAAA&#10;2gAAAA8AAAAAAAAAAQAgAAAAIgAAAGRycy9kb3ducmV2LnhtbFBLAQIUABQAAAAIAIdO4kAzLwWe&#10;OwAAADkAAAAQAAAAAAAAAAEAIAAAAAsBAABkcnMvc2hhcGV4bWwueG1sUEsFBgAAAAAGAAYAWwEA&#10;ALUDAAAAAA==&#10;">
                  <v:fill on="f" focussize="0,0"/>
                  <v:stroke weight="0.48pt" color="#000000" joinstyle="round"/>
                  <v:imagedata o:title=""/>
                  <o:lock v:ext="edit" aspectratio="f"/>
                </v:line>
                <w10:wrap type="none"/>
                <w10:anchorlock/>
              </v:group>
            </w:pict>
          </mc:Fallback>
        </mc:AlternateContent>
      </w:r>
    </w:p>
    <w:p>
      <w:pPr>
        <w:widowControl/>
        <w:wordWrap w:val="0"/>
        <w:adjustRightInd w:val="0"/>
        <w:snapToGrid w:val="0"/>
        <w:spacing w:line="360" w:lineRule="auto"/>
        <w:rPr>
          <w:rFonts w:hint="eastAsia" w:asciiTheme="minorEastAsia" w:hAnsiTheme="minorEastAsia" w:cstheme="minorEastAsia"/>
          <w:color w:val="000000"/>
          <w:spacing w:val="6"/>
          <w:kern w:val="0"/>
          <w:sz w:val="28"/>
          <w:szCs w:val="28"/>
          <w:lang w:val="en-US" w:eastAsia="zh-CN"/>
        </w:rPr>
      </w:pPr>
      <w:r>
        <w:rPr>
          <w:rFonts w:hint="eastAsia" w:asciiTheme="minorEastAsia" w:hAnsiTheme="minorEastAsia" w:cstheme="minorEastAsia"/>
          <w:color w:val="000000"/>
          <w:spacing w:val="6"/>
          <w:kern w:val="0"/>
          <w:sz w:val="28"/>
          <w:szCs w:val="28"/>
          <w:lang w:val="en-US" w:eastAsia="zh-CN"/>
        </w:rPr>
        <w:t>附件2：</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微软雅黑" w:hAnsi="微软雅黑" w:eastAsia="微软雅黑" w:cs="微软雅黑"/>
          <w:i w:val="0"/>
          <w:caps w:val="0"/>
          <w:color w:val="4B4B4B"/>
          <w:spacing w:val="0"/>
          <w:sz w:val="30"/>
          <w:szCs w:val="30"/>
        </w:rPr>
      </w:pPr>
      <w:r>
        <w:rPr>
          <w:rFonts w:hint="eastAsia" w:ascii="微软雅黑" w:hAnsi="微软雅黑" w:eastAsia="微软雅黑" w:cs="微软雅黑"/>
          <w:i w:val="0"/>
          <w:caps w:val="0"/>
          <w:color w:val="4B4B4B"/>
          <w:spacing w:val="0"/>
          <w:sz w:val="30"/>
          <w:szCs w:val="30"/>
        </w:rPr>
        <w:t>开展本科毕业论文抽检，严把人才培养质量关</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微软雅黑" w:hAnsi="微软雅黑" w:eastAsia="微软雅黑" w:cs="微软雅黑"/>
          <w:i w:val="0"/>
          <w:caps w:val="0"/>
          <w:color w:val="6B6B6B"/>
          <w:spacing w:val="0"/>
          <w:sz w:val="24"/>
          <w:szCs w:val="24"/>
        </w:rPr>
      </w:pPr>
      <w:r>
        <w:rPr>
          <w:rFonts w:hint="eastAsia" w:ascii="微软雅黑" w:hAnsi="微软雅黑" w:eastAsia="微软雅黑" w:cs="微软雅黑"/>
          <w:i w:val="0"/>
          <w:caps w:val="0"/>
          <w:color w:val="6B6B6B"/>
          <w:spacing w:val="0"/>
          <w:sz w:val="24"/>
          <w:szCs w:val="24"/>
        </w:rPr>
        <w:t>——教育部教育督导局负责人就《本科毕业论文（设计）抽检办法（试行）》答记者问</w:t>
      </w:r>
    </w:p>
    <w:p>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E9E9E9"/>
        <w:spacing w:before="300" w:beforeAutospacing="0" w:after="150" w:afterAutospacing="0"/>
        <w:ind w:left="0" w:right="0" w:firstLine="0"/>
        <w:jc w:val="left"/>
        <w:rPr>
          <w:rFonts w:hint="eastAsia" w:ascii="宋体" w:hAnsi="宋体" w:eastAsia="宋体" w:cs="宋体"/>
          <w:i w:val="0"/>
          <w:caps w:val="0"/>
          <w:color w:val="6B6B6B"/>
          <w:spacing w:val="0"/>
          <w:sz w:val="18"/>
          <w:szCs w:val="18"/>
        </w:rPr>
      </w:pPr>
      <w:r>
        <w:rPr>
          <w:rFonts w:hint="eastAsia" w:ascii="宋体" w:hAnsi="宋体" w:eastAsia="宋体" w:cs="宋体"/>
          <w:i w:val="0"/>
          <w:caps w:val="0"/>
          <w:color w:val="6B6B6B"/>
          <w:spacing w:val="0"/>
          <w:kern w:val="0"/>
          <w:sz w:val="18"/>
          <w:szCs w:val="18"/>
          <w:shd w:val="clear" w:color="auto" w:fill="E9E9E9"/>
          <w:lang w:val="en-US" w:eastAsia="zh-CN" w:bidi="ar"/>
        </w:rPr>
        <w:t>2021-01-07　来源：教育部</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ind w:left="0" w:right="0"/>
      </w:pPr>
      <w:r>
        <w:rPr>
          <w:rFonts w:hint="eastAsia" w:ascii="微软雅黑" w:hAnsi="微软雅黑" w:eastAsia="微软雅黑" w:cs="微软雅黑"/>
          <w:i w:val="0"/>
          <w:caps w:val="0"/>
          <w:color w:val="4B4B4B"/>
          <w:spacing w:val="0"/>
          <w:sz w:val="24"/>
          <w:szCs w:val="24"/>
        </w:rPr>
        <w:t>　　近日，教育部印发了《本科毕业论文（设计）抽检办法（试行）》（以下简称《办法》），启动本科毕业论文（设计）（以下简称本科毕业论文）抽检试点工作。教育部教育督导局负责人就抽检相关问题回答了记者提问。</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ind w:left="0" w:right="0"/>
      </w:pPr>
      <w:r>
        <w:rPr>
          <w:rFonts w:hint="eastAsia" w:ascii="微软雅黑" w:hAnsi="微软雅黑" w:eastAsia="微软雅黑" w:cs="微软雅黑"/>
          <w:i w:val="0"/>
          <w:caps w:val="0"/>
          <w:color w:val="4B4B4B"/>
          <w:spacing w:val="0"/>
          <w:sz w:val="24"/>
          <w:szCs w:val="24"/>
        </w:rPr>
        <w:t>　　</w:t>
      </w:r>
      <w:r>
        <w:rPr>
          <w:rFonts w:hint="eastAsia" w:ascii="微软雅黑" w:hAnsi="微软雅黑" w:eastAsia="微软雅黑" w:cs="微软雅黑"/>
          <w:b/>
          <w:i w:val="0"/>
          <w:caps w:val="0"/>
          <w:color w:val="4B4B4B"/>
          <w:spacing w:val="0"/>
          <w:sz w:val="24"/>
          <w:szCs w:val="24"/>
        </w:rPr>
        <w:t>一、请简要介绍开展本科毕业论文抽检的背景和目的。</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ind w:left="0" w:right="0"/>
      </w:pPr>
      <w:r>
        <w:rPr>
          <w:rFonts w:hint="eastAsia" w:ascii="微软雅黑" w:hAnsi="微软雅黑" w:eastAsia="微软雅黑" w:cs="微软雅黑"/>
          <w:i w:val="0"/>
          <w:caps w:val="0"/>
          <w:color w:val="4B4B4B"/>
          <w:spacing w:val="0"/>
          <w:sz w:val="24"/>
          <w:szCs w:val="24"/>
        </w:rPr>
        <w:t>　　答：习近平总书记在全国教育大会上作出重要指示，要落实立德树人根本任务，全面提高教育质量。2020年2月，中共中央办公厅、国务院办公厅印发《关于深化新时代教育督导体制机制改革的意见》，提出了加强和改进教育评估监测，保证教育教学质量的要求。2020年10月，中共中央、国务院印发《深化新时代教育评价改革总体方案》，明确要求严格学业标准，探索本科毕业论文抽检试点工作。《学士学位授权与授予管理办法》（学位〔2019〕20号）和《教育部关于深化本科教育教学改革全面提高人才培养质量的意见》（教高〔2019〕6号）提出要落实本科毕业论文要求，加强本科人才培养质量监督。《普通高等学校本科专业类教学质量国家标准》中也明确了不同专业类本科毕业论文的具体要求。</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ind w:left="0" w:right="0"/>
      </w:pPr>
      <w:r>
        <w:rPr>
          <w:rFonts w:hint="eastAsia" w:ascii="微软雅黑" w:hAnsi="微软雅黑" w:eastAsia="微软雅黑" w:cs="微软雅黑"/>
          <w:i w:val="0"/>
          <w:caps w:val="0"/>
          <w:color w:val="4B4B4B"/>
          <w:spacing w:val="0"/>
          <w:sz w:val="24"/>
          <w:szCs w:val="24"/>
        </w:rPr>
        <w:t>　　本科毕业论文是学生本科阶段综合学业成果。开展本科毕业论文抽检，考查本科生基本学术规范和基本学术素养，旨在督促高校落实立德树人根本任务，推动高校加强培养过程管理、把好毕业出口质量。</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ind w:left="0" w:right="0"/>
      </w:pPr>
      <w:r>
        <w:rPr>
          <w:rFonts w:hint="eastAsia" w:ascii="微软雅黑" w:hAnsi="微软雅黑" w:eastAsia="微软雅黑" w:cs="微软雅黑"/>
          <w:i w:val="0"/>
          <w:caps w:val="0"/>
          <w:color w:val="4B4B4B"/>
          <w:spacing w:val="0"/>
          <w:sz w:val="24"/>
          <w:szCs w:val="24"/>
        </w:rPr>
        <w:t>　　</w:t>
      </w:r>
      <w:r>
        <w:rPr>
          <w:rFonts w:hint="eastAsia" w:ascii="微软雅黑" w:hAnsi="微软雅黑" w:eastAsia="微软雅黑" w:cs="微软雅黑"/>
          <w:b/>
          <w:i w:val="0"/>
          <w:caps w:val="0"/>
          <w:color w:val="4B4B4B"/>
          <w:spacing w:val="0"/>
          <w:sz w:val="24"/>
          <w:szCs w:val="24"/>
        </w:rPr>
        <w:t>二、请简要介绍《办法》的研制过程。</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ind w:left="0" w:right="0"/>
      </w:pPr>
      <w:r>
        <w:rPr>
          <w:rFonts w:hint="eastAsia" w:ascii="微软雅黑" w:hAnsi="微软雅黑" w:eastAsia="微软雅黑" w:cs="微软雅黑"/>
          <w:i w:val="0"/>
          <w:caps w:val="0"/>
          <w:color w:val="4B4B4B"/>
          <w:spacing w:val="0"/>
          <w:sz w:val="24"/>
          <w:szCs w:val="24"/>
        </w:rPr>
        <w:t>　　答：教育部成立工作专班，充分总结博士硕士学位论文抽检工作经验，认真研究《教育部关于深化本科教育教学改革全面提高人才培养质量的意见》《普通高等学校本科专业类教学质量国家标准》《学士学位授权与授予管理办法》等文件，把握本科教育发展的新形势和对本科毕业论文的新要求。对已开展本科毕业论文抽检工作的河北等省份进行调研，总结经验做法。依托有关省级教育行政部门和高校负责同志组成专家团队，在充分征求其意见建议基础上起草了文件初稿。送14个中央部门教育司局、31个省级教育行政部门和新疆生产建设兵团教育局、部属高校和部省合建高校广泛征求意见，充分吸收采纳、修改完善，经教育部党组会审议通过后正式印发。</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ind w:left="0" w:right="0"/>
      </w:pPr>
      <w:r>
        <w:rPr>
          <w:rFonts w:hint="eastAsia" w:ascii="微软雅黑" w:hAnsi="微软雅黑" w:eastAsia="微软雅黑" w:cs="微软雅黑"/>
          <w:i w:val="0"/>
          <w:caps w:val="0"/>
          <w:color w:val="4B4B4B"/>
          <w:spacing w:val="0"/>
          <w:sz w:val="24"/>
          <w:szCs w:val="24"/>
        </w:rPr>
        <w:t>　　</w:t>
      </w:r>
      <w:r>
        <w:rPr>
          <w:rFonts w:hint="eastAsia" w:ascii="微软雅黑" w:hAnsi="微软雅黑" w:eastAsia="微软雅黑" w:cs="微软雅黑"/>
          <w:b/>
          <w:i w:val="0"/>
          <w:caps w:val="0"/>
          <w:color w:val="4B4B4B"/>
          <w:spacing w:val="0"/>
          <w:sz w:val="24"/>
          <w:szCs w:val="24"/>
        </w:rPr>
        <w:t>三、本科毕业论文抽检主要考察哪些内容，与博士硕士学位论文抽检有何不同？</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ind w:left="0" w:right="0"/>
      </w:pPr>
      <w:r>
        <w:rPr>
          <w:rFonts w:hint="eastAsia" w:ascii="微软雅黑" w:hAnsi="微软雅黑" w:eastAsia="微软雅黑" w:cs="微软雅黑"/>
          <w:i w:val="0"/>
          <w:caps w:val="0"/>
          <w:color w:val="4B4B4B"/>
          <w:spacing w:val="0"/>
          <w:sz w:val="24"/>
          <w:szCs w:val="24"/>
        </w:rPr>
        <w:t>　　答：本科毕业论文抽检重点对选题意义、写作安排、逻辑构建、专业能力以及学术规范等进行“合格性”考察。各省级教育行政部门参照《普通高等学校本科专业类教学质量国家标准》等要求，结合本地区工作实际，按照《普通高等学校本科专业目录（2020年版）》学科门类分别制定本科毕业论文抽检评议要素。区别于博士硕士学位论文抽检重点考察研究生创新性和科研能力，本科毕业论文抽检重点考察本科生基本学术规范和基本学术素养。</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ind w:left="0" w:right="0"/>
      </w:pPr>
      <w:r>
        <w:rPr>
          <w:rFonts w:hint="eastAsia" w:ascii="微软雅黑" w:hAnsi="微软雅黑" w:eastAsia="微软雅黑" w:cs="微软雅黑"/>
          <w:i w:val="0"/>
          <w:caps w:val="0"/>
          <w:color w:val="4B4B4B"/>
          <w:spacing w:val="0"/>
          <w:sz w:val="24"/>
          <w:szCs w:val="24"/>
        </w:rPr>
        <w:t>　　</w:t>
      </w:r>
      <w:r>
        <w:rPr>
          <w:rFonts w:hint="eastAsia" w:ascii="微软雅黑" w:hAnsi="微软雅黑" w:eastAsia="微软雅黑" w:cs="微软雅黑"/>
          <w:b/>
          <w:i w:val="0"/>
          <w:caps w:val="0"/>
          <w:color w:val="4B4B4B"/>
          <w:spacing w:val="0"/>
          <w:sz w:val="24"/>
          <w:szCs w:val="24"/>
        </w:rPr>
        <w:t>四、本科毕业论文抽检的比例和范围如何？</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ind w:left="0" w:right="0"/>
      </w:pPr>
      <w:r>
        <w:rPr>
          <w:rFonts w:hint="eastAsia" w:ascii="微软雅黑" w:hAnsi="微软雅黑" w:eastAsia="微软雅黑" w:cs="微软雅黑"/>
          <w:i w:val="0"/>
          <w:caps w:val="0"/>
          <w:color w:val="4B4B4B"/>
          <w:spacing w:val="0"/>
          <w:sz w:val="24"/>
          <w:szCs w:val="24"/>
        </w:rPr>
        <w:t>　　答：本科毕业论文抽检每年进行一次，抽检对象为上一学年度授予学士学位的论文，抽检比例原则上应不低于2%。省级教育行政部门采取随机抽取的方式确定抽检名单，抽检论文要覆盖本地区所有本科层次普通高校及其全部本科专业。</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ind w:left="0" w:right="0"/>
      </w:pPr>
      <w:r>
        <w:rPr>
          <w:rFonts w:hint="eastAsia" w:ascii="微软雅黑" w:hAnsi="微软雅黑" w:eastAsia="微软雅黑" w:cs="微软雅黑"/>
          <w:i w:val="0"/>
          <w:caps w:val="0"/>
          <w:color w:val="4B4B4B"/>
          <w:spacing w:val="0"/>
          <w:sz w:val="24"/>
          <w:szCs w:val="24"/>
        </w:rPr>
        <w:t>　　</w:t>
      </w:r>
      <w:r>
        <w:rPr>
          <w:rFonts w:hint="eastAsia" w:ascii="微软雅黑" w:hAnsi="微软雅黑" w:eastAsia="微软雅黑" w:cs="微软雅黑"/>
          <w:b/>
          <w:i w:val="0"/>
          <w:caps w:val="0"/>
          <w:color w:val="4B4B4B"/>
          <w:spacing w:val="0"/>
          <w:sz w:val="24"/>
          <w:szCs w:val="24"/>
        </w:rPr>
        <w:t>五、本科毕业论文抽检工作如何开展？</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ind w:left="0" w:right="0"/>
      </w:pPr>
      <w:r>
        <w:rPr>
          <w:rFonts w:hint="eastAsia" w:ascii="微软雅黑" w:hAnsi="微软雅黑" w:eastAsia="微软雅黑" w:cs="微软雅黑"/>
          <w:i w:val="0"/>
          <w:caps w:val="0"/>
          <w:color w:val="4B4B4B"/>
          <w:spacing w:val="0"/>
          <w:sz w:val="24"/>
          <w:szCs w:val="24"/>
        </w:rPr>
        <w:t>　　答：本科毕业论文抽检工作实施分级管理。教育部负责统筹组织和监督，省级教育行政部门负责具体实施，各有关高校配合落实。中国人民解放军有关部门负责军队系统本科毕业论文抽检的具体实施。</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ind w:left="0" w:right="0"/>
      </w:pPr>
      <w:r>
        <w:rPr>
          <w:rFonts w:hint="eastAsia" w:ascii="微软雅黑" w:hAnsi="微软雅黑" w:eastAsia="微软雅黑" w:cs="微软雅黑"/>
          <w:i w:val="0"/>
          <w:caps w:val="0"/>
          <w:color w:val="4B4B4B"/>
          <w:spacing w:val="0"/>
          <w:sz w:val="24"/>
          <w:szCs w:val="24"/>
        </w:rPr>
        <w:t>　　教育部建立全国本科毕业论文抽检信息平台，面向省级教育行政部门提供学术不端行为检测、毕业论文提取和专家评审等定制功能，对各省级教育行政部门开展本科毕业论文抽检工作实行全过程监督。</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ind w:left="0" w:right="0"/>
      </w:pPr>
      <w:r>
        <w:rPr>
          <w:rFonts w:hint="eastAsia" w:ascii="微软雅黑" w:hAnsi="微软雅黑" w:eastAsia="微软雅黑" w:cs="微软雅黑"/>
          <w:i w:val="0"/>
          <w:caps w:val="0"/>
          <w:color w:val="4B4B4B"/>
          <w:spacing w:val="0"/>
          <w:sz w:val="24"/>
          <w:szCs w:val="24"/>
        </w:rPr>
        <w:t>　　省级教育行政部门基于抽检信息平台和本地区学士学位授予信息，采取随机抽取的方式确定抽检名单。利用抽检信息平台对抽检论文进行学术不端行为检测，检测结果供专家评审参考。采取随机匹配方式组织同行专家对抽检论文进行评议，提出评议意见。</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ind w:left="0" w:right="0"/>
      </w:pPr>
      <w:r>
        <w:rPr>
          <w:rFonts w:hint="eastAsia" w:ascii="微软雅黑" w:hAnsi="微软雅黑" w:eastAsia="微软雅黑" w:cs="微软雅黑"/>
          <w:i w:val="0"/>
          <w:caps w:val="0"/>
          <w:color w:val="4B4B4B"/>
          <w:spacing w:val="0"/>
          <w:sz w:val="24"/>
          <w:szCs w:val="24"/>
        </w:rPr>
        <w:t>　　</w:t>
      </w:r>
      <w:r>
        <w:rPr>
          <w:rFonts w:hint="eastAsia" w:ascii="微软雅黑" w:hAnsi="微软雅黑" w:eastAsia="微软雅黑" w:cs="微软雅黑"/>
          <w:b/>
          <w:i w:val="0"/>
          <w:caps w:val="0"/>
          <w:color w:val="4B4B4B"/>
          <w:spacing w:val="0"/>
          <w:sz w:val="24"/>
          <w:szCs w:val="24"/>
        </w:rPr>
        <w:t>六、如何确定“存在问题学位论文”？</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ind w:left="0" w:right="0"/>
      </w:pPr>
      <w:r>
        <w:rPr>
          <w:rFonts w:hint="eastAsia" w:ascii="微软雅黑" w:hAnsi="微软雅黑" w:eastAsia="微软雅黑" w:cs="微软雅黑"/>
          <w:i w:val="0"/>
          <w:caps w:val="0"/>
          <w:color w:val="4B4B4B"/>
          <w:spacing w:val="0"/>
          <w:sz w:val="24"/>
          <w:szCs w:val="24"/>
        </w:rPr>
        <w:t>　　答：本科毕业论文抽检分为初评和复评两个环节。初评阶段，每篇论文送3位同行专家，3位专家中有2位以上（含2位）专家评议意见为“不合格”的毕业论文，将认定为“存在问题毕业论文”。3位专家中有1位专家评议意见为“不合格”，将再送2位同行专家进行复评。复评阶段，2位复评专家中有1位以上（含1位）专家评议意见为“不合格”，将认定为“存在问题毕业论文”。</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ind w:left="0" w:right="0"/>
      </w:pPr>
      <w:r>
        <w:rPr>
          <w:rFonts w:hint="eastAsia" w:ascii="微软雅黑" w:hAnsi="微软雅黑" w:eastAsia="微软雅黑" w:cs="微软雅黑"/>
          <w:i w:val="0"/>
          <w:caps w:val="0"/>
          <w:color w:val="4B4B4B"/>
          <w:spacing w:val="0"/>
          <w:sz w:val="24"/>
          <w:szCs w:val="24"/>
        </w:rPr>
        <w:t>　　</w:t>
      </w:r>
      <w:r>
        <w:rPr>
          <w:rFonts w:hint="eastAsia" w:ascii="微软雅黑" w:hAnsi="微软雅黑" w:eastAsia="微软雅黑" w:cs="微软雅黑"/>
          <w:b/>
          <w:i w:val="0"/>
          <w:caps w:val="0"/>
          <w:color w:val="4B4B4B"/>
          <w:spacing w:val="0"/>
          <w:sz w:val="24"/>
          <w:szCs w:val="24"/>
        </w:rPr>
        <w:t>七、本科毕业论文抽检结果如何使用？</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ind w:left="0" w:right="0"/>
      </w:pPr>
      <w:r>
        <w:rPr>
          <w:rFonts w:hint="eastAsia" w:ascii="微软雅黑" w:hAnsi="微软雅黑" w:eastAsia="微软雅黑" w:cs="微软雅黑"/>
          <w:i w:val="0"/>
          <w:caps w:val="0"/>
          <w:color w:val="4B4B4B"/>
          <w:spacing w:val="0"/>
          <w:sz w:val="24"/>
          <w:szCs w:val="24"/>
        </w:rPr>
        <w:t>　　答：本科毕业论文抽检结果由省级教育行政部门向有关高校反馈、抄送省级学位委员会，同时报教育部备案。主要采取以下方式使用：一是抽检结果以适当方式向社会公开。二是对连续2年均有“存在问题毕业论文”，且比例较高或篇数较多的高校，省级教育行政部门应在本省域内予以通报，减少其招生计划，并进行质量约谈，提出限期整改要求。高校应对有关部门、学院和个人的人才培养责任落实情况进行调查，依据有关规定予以追责。三是对连续3年抽检存在问题较多的本科专业，经整改仍无法达到要求者，视为不能保证培养质量，省级教育行政部门应依据有关规定责令其暂停招生，或由省级学位委员会撤销其学士学位授权点。四是对涉嫌存在抄袭、剽窃、伪造、篡改、买卖、代写等学术不端行为的毕业论文，高校应按照相关程序进行调查核实，对查实的应依法撤销已授予学位，并注销学位证书。五是抽检结果将作为本科教育教学评估、一流本科专业建设、本科专业认证以及专业建设经费投入等教育资源配置的重要参考依据。</w:t>
      </w:r>
    </w:p>
    <w:p>
      <w:pPr>
        <w:widowControl/>
        <w:wordWrap w:val="0"/>
        <w:adjustRightInd w:val="0"/>
        <w:snapToGrid w:val="0"/>
        <w:spacing w:line="360" w:lineRule="auto"/>
        <w:rPr>
          <w:rFonts w:hint="default" w:asciiTheme="minorEastAsia" w:hAnsiTheme="minorEastAsia" w:cstheme="minorEastAsia"/>
          <w:color w:val="000000"/>
          <w:spacing w:val="6"/>
          <w:kern w:val="0"/>
          <w:sz w:val="28"/>
          <w:szCs w:val="28"/>
          <w:lang w:val="en-US" w:eastAsia="zh-CN"/>
        </w:rPr>
      </w:pPr>
    </w:p>
    <w:sectPr>
      <w:pgSz w:w="11906" w:h="16838"/>
      <w:pgMar w:top="1417" w:right="1587" w:bottom="1383" w:left="1587" w:header="851" w:footer="992" w:gutter="0"/>
      <w:cols w:space="0" w:num="1"/>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monospace">
    <w:altName w:val="Courier New"/>
    <w:panose1 w:val="00000000000000000000"/>
    <w:charset w:val="00"/>
    <w:family w:val="auto"/>
    <w:pitch w:val="default"/>
    <w:sig w:usb0="00000000" w:usb1="00000000" w:usb2="00000000" w:usb3="00000000" w:csb0="00000000" w:csb1="00000000"/>
  </w:font>
  <w:font w:name="宋体 ! important">
    <w:altName w:val="宋体"/>
    <w:panose1 w:val="00000000000000000000"/>
    <w:charset w:val="00"/>
    <w:family w:val="auto"/>
    <w:pitch w:val="default"/>
    <w:sig w:usb0="00000000" w:usb1="00000000" w:usb2="00000000" w:usb3="00000000" w:csb0="00000000" w:csb1="00000000"/>
  </w:font>
  <w:font w:name="仿宋_GB2312">
    <w:altName w:val="仿宋"/>
    <w:panose1 w:val="02010609030101010101"/>
    <w:charset w:val="86"/>
    <w:family w:val="modern"/>
    <w:pitch w:val="default"/>
    <w:sig w:usb0="00000000" w:usb1="00000000" w:usb2="00000000" w:usb3="00000000" w:csb0="00040000" w:csb1="00000000"/>
  </w:font>
  <w:font w:name="Verdana">
    <w:panose1 w:val="020B0604030504040204"/>
    <w:charset w:val="00"/>
    <w:family w:val="auto"/>
    <w:pitch w:val="default"/>
    <w:sig w:usb0="A00006FF" w:usb1="4000205B" w:usb2="00000010" w:usb3="00000000" w:csb0="2000019F"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spacing w:line="14" w:lineRule="auto"/>
      <w:rPr>
        <w:sz w:val="20"/>
      </w:rPr>
    </w:pPr>
    <w:r>
      <mc:AlternateContent>
        <mc:Choice Requires="wps">
          <w:drawing>
            <wp:anchor distT="0" distB="0" distL="114300" distR="114300" simplePos="0" relativeHeight="251660288" behindDoc="1" locked="0" layoutInCell="1" allowOverlap="1">
              <wp:simplePos x="0" y="0"/>
              <wp:positionH relativeFrom="page">
                <wp:posOffset>3500120</wp:posOffset>
              </wp:positionH>
              <wp:positionV relativeFrom="page">
                <wp:posOffset>9646285</wp:posOffset>
              </wp:positionV>
              <wp:extent cx="560705" cy="224790"/>
              <wp:effectExtent l="0" t="0" r="0" b="0"/>
              <wp:wrapNone/>
              <wp:docPr id="4" name="文本框 4"/>
              <wp:cNvGraphicFramePr/>
              <a:graphic xmlns:a="http://schemas.openxmlformats.org/drawingml/2006/main">
                <a:graphicData uri="http://schemas.microsoft.com/office/word/2010/wordprocessingShape">
                  <wps:wsp>
                    <wps:cNvSpPr txBox="1"/>
                    <wps:spPr>
                      <a:xfrm>
                        <a:off x="0" y="0"/>
                        <a:ext cx="560705" cy="224790"/>
                      </a:xfrm>
                      <a:prstGeom prst="rect">
                        <a:avLst/>
                      </a:prstGeom>
                      <a:noFill/>
                      <a:ln>
                        <a:noFill/>
                      </a:ln>
                    </wps:spPr>
                    <wps:txbx>
                      <w:txbxContent>
                        <w:p>
                          <w:pPr>
                            <w:spacing w:before="11"/>
                            <w:ind w:left="20" w:right="0" w:firstLine="0"/>
                            <w:jc w:val="left"/>
                            <w:rPr>
                              <w:rFonts w:ascii="Times New Roman" w:hAnsi="Times New Roman"/>
                              <w:b/>
                              <w:sz w:val="28"/>
                            </w:rPr>
                          </w:pPr>
                          <w:r>
                            <w:rPr>
                              <w:rFonts w:ascii="Times New Roman" w:hAnsi="Times New Roman"/>
                              <w:b/>
                              <w:sz w:val="28"/>
                            </w:rPr>
                            <w:t xml:space="preserve">— </w:t>
                          </w:r>
                          <w:r>
                            <w:fldChar w:fldCharType="begin"/>
                          </w:r>
                          <w:r>
                            <w:rPr>
                              <w:rFonts w:ascii="Times New Roman" w:hAnsi="Times New Roman"/>
                              <w:b/>
                              <w:sz w:val="28"/>
                            </w:rPr>
                            <w:instrText xml:space="preserve"> PAGE </w:instrText>
                          </w:r>
                          <w:r>
                            <w:fldChar w:fldCharType="separate"/>
                          </w:r>
                          <w:r>
                            <w:t>2</w:t>
                          </w:r>
                          <w:r>
                            <w:fldChar w:fldCharType="end"/>
                          </w:r>
                          <w:r>
                            <w:rPr>
                              <w:rFonts w:ascii="Times New Roman" w:hAnsi="Times New Roman"/>
                              <w:b/>
                              <w:sz w:val="28"/>
                            </w:rPr>
                            <w:t xml:space="preserve"> —</w:t>
                          </w:r>
                        </w:p>
                      </w:txbxContent>
                    </wps:txbx>
                    <wps:bodyPr lIns="0" tIns="0" rIns="0" bIns="0" upright="1"/>
                  </wps:wsp>
                </a:graphicData>
              </a:graphic>
            </wp:anchor>
          </w:drawing>
        </mc:Choice>
        <mc:Fallback>
          <w:pict>
            <v:shape id="_x0000_s1026" o:spid="_x0000_s1026" o:spt="202" type="#_x0000_t202" style="position:absolute;left:0pt;margin-left:275.6pt;margin-top:759.55pt;height:17.7pt;width:44.15pt;mso-position-horizontal-relative:page;mso-position-vertical-relative:page;z-index:-251656192;mso-width-relative:page;mso-height-relative:page;" filled="f" stroked="f" coordsize="21600,21600" o:gfxdata="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vdbxHaAAAADQEAAA8AAAAAAAAAAQAgAAAAIgAAAGRycy9kb3ducmV2LnhtbFBL&#10;AQIUABQAAAAIAIdO4kAU9gDquwEAAHEDAAAOAAAAAAAAAAEAIAAAACkBAABkcnMvZTJvRG9jLnht&#10;bFBLBQYAAAAABgAGAFkBAABWBQAAAAA=&#10;">
              <v:fill on="f" focussize="0,0"/>
              <v:stroke on="f"/>
              <v:imagedata o:title=""/>
              <o:lock v:ext="edit" aspectratio="f"/>
              <v:textbox inset="0mm,0mm,0mm,0mm">
                <w:txbxContent>
                  <w:p>
                    <w:pPr>
                      <w:spacing w:before="11"/>
                      <w:ind w:left="20" w:right="0" w:firstLine="0"/>
                      <w:jc w:val="left"/>
                      <w:rPr>
                        <w:rFonts w:ascii="Times New Roman" w:hAnsi="Times New Roman"/>
                        <w:b/>
                        <w:sz w:val="28"/>
                      </w:rPr>
                    </w:pPr>
                    <w:r>
                      <w:rPr>
                        <w:rFonts w:ascii="Times New Roman" w:hAnsi="Times New Roman"/>
                        <w:b/>
                        <w:sz w:val="28"/>
                      </w:rPr>
                      <w:t xml:space="preserve">— </w:t>
                    </w:r>
                    <w:r>
                      <w:fldChar w:fldCharType="begin"/>
                    </w:r>
                    <w:r>
                      <w:rPr>
                        <w:rFonts w:ascii="Times New Roman" w:hAnsi="Times New Roman"/>
                        <w:b/>
                        <w:sz w:val="28"/>
                      </w:rPr>
                      <w:instrText xml:space="preserve"> PAGE </w:instrText>
                    </w:r>
                    <w:r>
                      <w:fldChar w:fldCharType="separate"/>
                    </w:r>
                    <w:r>
                      <w:t>2</w:t>
                    </w:r>
                    <w:r>
                      <w:fldChar w:fldCharType="end"/>
                    </w:r>
                    <w:r>
                      <w:rPr>
                        <w:rFonts w:ascii="Times New Roman" w:hAnsi="Times New Roman"/>
                        <w:b/>
                        <w:sz w:val="28"/>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5F6E37C"/>
    <w:multiLevelType w:val="singleLevel"/>
    <w:tmpl w:val="C5F6E37C"/>
    <w:lvl w:ilvl="0" w:tentative="0">
      <w:start w:val="2"/>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9"/>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doNotExpandShiftReturn/>
    <w:adjustLineHeightInTable/>
    <w:doNotBreakWrappedTables/>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5982534"/>
    <w:rsid w:val="00024108"/>
    <w:rsid w:val="0004707F"/>
    <w:rsid w:val="00090560"/>
    <w:rsid w:val="0015301C"/>
    <w:rsid w:val="001A5207"/>
    <w:rsid w:val="002B0847"/>
    <w:rsid w:val="003644AE"/>
    <w:rsid w:val="003E3EB6"/>
    <w:rsid w:val="00403A89"/>
    <w:rsid w:val="00415488"/>
    <w:rsid w:val="00436EC0"/>
    <w:rsid w:val="004608C4"/>
    <w:rsid w:val="004C5BB5"/>
    <w:rsid w:val="004E79C2"/>
    <w:rsid w:val="005E6826"/>
    <w:rsid w:val="0060149F"/>
    <w:rsid w:val="006331AB"/>
    <w:rsid w:val="00671801"/>
    <w:rsid w:val="0068455A"/>
    <w:rsid w:val="00697877"/>
    <w:rsid w:val="006A2AE5"/>
    <w:rsid w:val="00710D66"/>
    <w:rsid w:val="00772B4C"/>
    <w:rsid w:val="00792481"/>
    <w:rsid w:val="007A65D6"/>
    <w:rsid w:val="00842F30"/>
    <w:rsid w:val="0088460D"/>
    <w:rsid w:val="009754AA"/>
    <w:rsid w:val="00997A6D"/>
    <w:rsid w:val="009B34C6"/>
    <w:rsid w:val="009C060A"/>
    <w:rsid w:val="009C7921"/>
    <w:rsid w:val="009D467F"/>
    <w:rsid w:val="009F2A26"/>
    <w:rsid w:val="00A1067C"/>
    <w:rsid w:val="00A7748A"/>
    <w:rsid w:val="00AE3A1D"/>
    <w:rsid w:val="00B43378"/>
    <w:rsid w:val="00B54792"/>
    <w:rsid w:val="00BA7B7B"/>
    <w:rsid w:val="00BB3FC5"/>
    <w:rsid w:val="00BC3F49"/>
    <w:rsid w:val="00C45E45"/>
    <w:rsid w:val="00C47664"/>
    <w:rsid w:val="00C50F14"/>
    <w:rsid w:val="00C5721A"/>
    <w:rsid w:val="00CA0090"/>
    <w:rsid w:val="00D21287"/>
    <w:rsid w:val="00D50D12"/>
    <w:rsid w:val="00D70063"/>
    <w:rsid w:val="00D81814"/>
    <w:rsid w:val="00DC5942"/>
    <w:rsid w:val="00DD1662"/>
    <w:rsid w:val="00E037CF"/>
    <w:rsid w:val="00E23684"/>
    <w:rsid w:val="00E742DB"/>
    <w:rsid w:val="00EA4360"/>
    <w:rsid w:val="00EA7CA1"/>
    <w:rsid w:val="00F240DE"/>
    <w:rsid w:val="00F3766D"/>
    <w:rsid w:val="00FD0CFF"/>
    <w:rsid w:val="01912957"/>
    <w:rsid w:val="024874F2"/>
    <w:rsid w:val="02FF6CEE"/>
    <w:rsid w:val="042D254B"/>
    <w:rsid w:val="04A7480C"/>
    <w:rsid w:val="04C46DE9"/>
    <w:rsid w:val="05D0575D"/>
    <w:rsid w:val="0A140428"/>
    <w:rsid w:val="0A486323"/>
    <w:rsid w:val="0ABF5489"/>
    <w:rsid w:val="0BEF6874"/>
    <w:rsid w:val="0BF231CF"/>
    <w:rsid w:val="0C4F4BED"/>
    <w:rsid w:val="0C5437AF"/>
    <w:rsid w:val="0D083877"/>
    <w:rsid w:val="0EF27D7F"/>
    <w:rsid w:val="0F802ECA"/>
    <w:rsid w:val="1131630B"/>
    <w:rsid w:val="12105979"/>
    <w:rsid w:val="142E0338"/>
    <w:rsid w:val="14553B17"/>
    <w:rsid w:val="1A2A393D"/>
    <w:rsid w:val="1CEB326A"/>
    <w:rsid w:val="1EB4662A"/>
    <w:rsid w:val="202C4847"/>
    <w:rsid w:val="2123599E"/>
    <w:rsid w:val="22DD206F"/>
    <w:rsid w:val="2346654E"/>
    <w:rsid w:val="2347283B"/>
    <w:rsid w:val="23FE4608"/>
    <w:rsid w:val="25541C37"/>
    <w:rsid w:val="26282807"/>
    <w:rsid w:val="274F0899"/>
    <w:rsid w:val="27E908D1"/>
    <w:rsid w:val="2814421A"/>
    <w:rsid w:val="284A39CE"/>
    <w:rsid w:val="28650375"/>
    <w:rsid w:val="29826588"/>
    <w:rsid w:val="29D137E8"/>
    <w:rsid w:val="2B8E2BA5"/>
    <w:rsid w:val="2C1F6420"/>
    <w:rsid w:val="2C48254C"/>
    <w:rsid w:val="2CC07596"/>
    <w:rsid w:val="2E655F33"/>
    <w:rsid w:val="2EBE1AB1"/>
    <w:rsid w:val="2EEC129D"/>
    <w:rsid w:val="30090E18"/>
    <w:rsid w:val="30D35F63"/>
    <w:rsid w:val="3178492D"/>
    <w:rsid w:val="31A041CB"/>
    <w:rsid w:val="32265B0F"/>
    <w:rsid w:val="326277DE"/>
    <w:rsid w:val="32BD48F9"/>
    <w:rsid w:val="33011A6B"/>
    <w:rsid w:val="333C6D72"/>
    <w:rsid w:val="354C4B58"/>
    <w:rsid w:val="357C43D1"/>
    <w:rsid w:val="35982534"/>
    <w:rsid w:val="363B215B"/>
    <w:rsid w:val="36E25CED"/>
    <w:rsid w:val="36F56D67"/>
    <w:rsid w:val="382335D8"/>
    <w:rsid w:val="3895744B"/>
    <w:rsid w:val="393032F2"/>
    <w:rsid w:val="39595342"/>
    <w:rsid w:val="3ADA7E3F"/>
    <w:rsid w:val="3C6E7BB4"/>
    <w:rsid w:val="3D806DE0"/>
    <w:rsid w:val="3EA64DEB"/>
    <w:rsid w:val="3F5760CB"/>
    <w:rsid w:val="3FC631C1"/>
    <w:rsid w:val="40090458"/>
    <w:rsid w:val="431C5A86"/>
    <w:rsid w:val="47FF09BA"/>
    <w:rsid w:val="48195125"/>
    <w:rsid w:val="48BD31A2"/>
    <w:rsid w:val="4B571947"/>
    <w:rsid w:val="4B7953FC"/>
    <w:rsid w:val="4CAB6831"/>
    <w:rsid w:val="4EBD4088"/>
    <w:rsid w:val="4EE9032B"/>
    <w:rsid w:val="509769E6"/>
    <w:rsid w:val="51830A41"/>
    <w:rsid w:val="51E601E1"/>
    <w:rsid w:val="538E39A3"/>
    <w:rsid w:val="54D53C12"/>
    <w:rsid w:val="553E69A1"/>
    <w:rsid w:val="56413A96"/>
    <w:rsid w:val="57374F54"/>
    <w:rsid w:val="57760E46"/>
    <w:rsid w:val="57802226"/>
    <w:rsid w:val="58B374A8"/>
    <w:rsid w:val="5A517935"/>
    <w:rsid w:val="5AC63549"/>
    <w:rsid w:val="5CF35FF6"/>
    <w:rsid w:val="5E22253D"/>
    <w:rsid w:val="5EFD1888"/>
    <w:rsid w:val="5FAA3A33"/>
    <w:rsid w:val="5FB67020"/>
    <w:rsid w:val="61844625"/>
    <w:rsid w:val="6381191C"/>
    <w:rsid w:val="639D2A23"/>
    <w:rsid w:val="648D5B24"/>
    <w:rsid w:val="68A00C01"/>
    <w:rsid w:val="69327862"/>
    <w:rsid w:val="6B0F0DFB"/>
    <w:rsid w:val="6B8F2B57"/>
    <w:rsid w:val="6D394128"/>
    <w:rsid w:val="6DE052A2"/>
    <w:rsid w:val="6E3120DB"/>
    <w:rsid w:val="6E414809"/>
    <w:rsid w:val="6E6829DD"/>
    <w:rsid w:val="70E84C6C"/>
    <w:rsid w:val="71907606"/>
    <w:rsid w:val="71987AA2"/>
    <w:rsid w:val="72CF7D57"/>
    <w:rsid w:val="74895909"/>
    <w:rsid w:val="791660EE"/>
    <w:rsid w:val="7978569A"/>
    <w:rsid w:val="79CE3BA8"/>
    <w:rsid w:val="7B504ABD"/>
    <w:rsid w:val="7C8B793D"/>
    <w:rsid w:val="7D4A4B99"/>
    <w:rsid w:val="7DF455E0"/>
    <w:rsid w:val="7E120E90"/>
    <w:rsid w:val="7FE972F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unhideWhenUsed="0" w:uiPriority="0" w:semiHidden="0" w:name="HTML Typewriter"/>
    <w:lsdException w:qFormat="1"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4">
    <w:name w:val="heading 1"/>
    <w:basedOn w:val="1"/>
    <w:next w:val="1"/>
    <w:qFormat/>
    <w:uiPriority w:val="0"/>
    <w:pPr>
      <w:spacing w:before="100" w:beforeAutospacing="1" w:after="100" w:afterAutospacing="1"/>
      <w:jc w:val="left"/>
    </w:pPr>
    <w:rPr>
      <w:rFonts w:hint="eastAsia" w:ascii="宋体" w:hAnsi="宋体" w:eastAsia="宋体" w:cs="宋体"/>
      <w:b/>
      <w:kern w:val="44"/>
      <w:sz w:val="48"/>
      <w:szCs w:val="48"/>
      <w:lang w:val="en-US" w:eastAsia="zh-CN" w:bidi="ar"/>
    </w:rPr>
  </w:style>
  <w:style w:type="paragraph" w:styleId="5">
    <w:name w:val="heading 2"/>
    <w:basedOn w:val="1"/>
    <w:next w:val="1"/>
    <w:unhideWhenUsed/>
    <w:qFormat/>
    <w:uiPriority w:val="0"/>
    <w:pPr>
      <w:spacing w:before="100" w:beforeAutospacing="1" w:after="100" w:afterAutospacing="1"/>
      <w:jc w:val="left"/>
    </w:pPr>
    <w:rPr>
      <w:rFonts w:hint="eastAsia" w:ascii="宋体" w:hAnsi="宋体" w:eastAsia="宋体" w:cs="宋体"/>
      <w:b/>
      <w:kern w:val="0"/>
      <w:sz w:val="36"/>
      <w:szCs w:val="36"/>
      <w:lang w:val="en-US" w:eastAsia="zh-CN" w:bidi="ar"/>
    </w:rPr>
  </w:style>
  <w:style w:type="character" w:default="1" w:styleId="11">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customStyle="1" w:styleId="2">
    <w:name w:val="自评报告正文"/>
    <w:basedOn w:val="3"/>
    <w:qFormat/>
    <w:uiPriority w:val="0"/>
    <w:pPr>
      <w:widowControl/>
      <w:spacing w:before="40" w:after="40" w:line="240" w:lineRule="auto"/>
      <w:ind w:firstLine="643" w:firstLineChars="200"/>
    </w:pPr>
    <w:rPr>
      <w:rFonts w:ascii="仿宋" w:hAnsi="仿宋" w:cstheme="minorBidi"/>
      <w:sz w:val="32"/>
      <w:szCs w:val="22"/>
    </w:rPr>
  </w:style>
  <w:style w:type="paragraph" w:styleId="3">
    <w:name w:val="Normal (Web)"/>
    <w:basedOn w:val="1"/>
    <w:qFormat/>
    <w:uiPriority w:val="0"/>
    <w:rPr>
      <w:sz w:val="24"/>
    </w:rPr>
  </w:style>
  <w:style w:type="paragraph" w:styleId="6">
    <w:name w:val="Body Text"/>
    <w:basedOn w:val="1"/>
    <w:qFormat/>
    <w:uiPriority w:val="1"/>
    <w:rPr>
      <w:rFonts w:ascii="仿宋" w:hAnsi="仿宋" w:eastAsia="仿宋" w:cs="仿宋"/>
      <w:sz w:val="32"/>
      <w:szCs w:val="32"/>
      <w:lang w:val="zh-CN" w:eastAsia="zh-CN" w:bidi="zh-CN"/>
    </w:rPr>
  </w:style>
  <w:style w:type="paragraph" w:styleId="7">
    <w:name w:val="Balloon Text"/>
    <w:basedOn w:val="1"/>
    <w:link w:val="49"/>
    <w:qFormat/>
    <w:uiPriority w:val="0"/>
    <w:rPr>
      <w:sz w:val="18"/>
      <w:szCs w:val="18"/>
    </w:rPr>
  </w:style>
  <w:style w:type="paragraph" w:styleId="8">
    <w:name w:val="footer"/>
    <w:basedOn w:val="1"/>
    <w:link w:val="52"/>
    <w:qFormat/>
    <w:uiPriority w:val="0"/>
    <w:pPr>
      <w:tabs>
        <w:tab w:val="center" w:pos="4153"/>
        <w:tab w:val="right" w:pos="8306"/>
      </w:tabs>
      <w:snapToGrid w:val="0"/>
      <w:jc w:val="left"/>
    </w:pPr>
    <w:rPr>
      <w:sz w:val="18"/>
      <w:szCs w:val="18"/>
    </w:rPr>
  </w:style>
  <w:style w:type="paragraph" w:styleId="9">
    <w:name w:val="header"/>
    <w:basedOn w:val="1"/>
    <w:link w:val="51"/>
    <w:qFormat/>
    <w:uiPriority w:val="0"/>
    <w:pPr>
      <w:pBdr>
        <w:bottom w:val="single" w:color="auto" w:sz="6" w:space="1"/>
      </w:pBdr>
      <w:tabs>
        <w:tab w:val="center" w:pos="4153"/>
        <w:tab w:val="right" w:pos="8306"/>
      </w:tabs>
      <w:snapToGrid w:val="0"/>
      <w:jc w:val="center"/>
    </w:pPr>
    <w:rPr>
      <w:sz w:val="18"/>
      <w:szCs w:val="18"/>
    </w:rPr>
  </w:style>
  <w:style w:type="character" w:styleId="12">
    <w:name w:val="Strong"/>
    <w:basedOn w:val="11"/>
    <w:qFormat/>
    <w:uiPriority w:val="0"/>
    <w:rPr>
      <w:b/>
    </w:rPr>
  </w:style>
  <w:style w:type="character" w:styleId="13">
    <w:name w:val="FollowedHyperlink"/>
    <w:basedOn w:val="11"/>
    <w:qFormat/>
    <w:uiPriority w:val="0"/>
    <w:rPr>
      <w:color w:val="333333"/>
      <w:u w:val="none"/>
    </w:rPr>
  </w:style>
  <w:style w:type="character" w:styleId="14">
    <w:name w:val="Emphasis"/>
    <w:basedOn w:val="11"/>
    <w:qFormat/>
    <w:uiPriority w:val="0"/>
    <w:rPr>
      <w:i/>
    </w:rPr>
  </w:style>
  <w:style w:type="character" w:styleId="15">
    <w:name w:val="HTML Definition"/>
    <w:basedOn w:val="11"/>
    <w:qFormat/>
    <w:uiPriority w:val="0"/>
  </w:style>
  <w:style w:type="character" w:styleId="16">
    <w:name w:val="HTML Acronym"/>
    <w:basedOn w:val="11"/>
    <w:qFormat/>
    <w:uiPriority w:val="0"/>
  </w:style>
  <w:style w:type="character" w:styleId="17">
    <w:name w:val="HTML Variable"/>
    <w:basedOn w:val="11"/>
    <w:qFormat/>
    <w:uiPriority w:val="0"/>
  </w:style>
  <w:style w:type="character" w:styleId="18">
    <w:name w:val="Hyperlink"/>
    <w:basedOn w:val="11"/>
    <w:qFormat/>
    <w:uiPriority w:val="0"/>
    <w:rPr>
      <w:color w:val="000000"/>
      <w:u w:val="none"/>
    </w:rPr>
  </w:style>
  <w:style w:type="character" w:styleId="19">
    <w:name w:val="HTML Code"/>
    <w:basedOn w:val="11"/>
    <w:qFormat/>
    <w:uiPriority w:val="0"/>
    <w:rPr>
      <w:rFonts w:ascii="monospace" w:hAnsi="monospace" w:eastAsia="monospace" w:cs="monospace"/>
      <w:sz w:val="24"/>
      <w:szCs w:val="24"/>
    </w:rPr>
  </w:style>
  <w:style w:type="character" w:styleId="20">
    <w:name w:val="HTML Cite"/>
    <w:basedOn w:val="11"/>
    <w:qFormat/>
    <w:uiPriority w:val="0"/>
  </w:style>
  <w:style w:type="character" w:styleId="21">
    <w:name w:val="HTML Keyboard"/>
    <w:basedOn w:val="11"/>
    <w:qFormat/>
    <w:uiPriority w:val="0"/>
    <w:rPr>
      <w:rFonts w:hint="default" w:ascii="monospace" w:hAnsi="monospace" w:eastAsia="monospace" w:cs="monospace"/>
      <w:sz w:val="24"/>
      <w:szCs w:val="24"/>
    </w:rPr>
  </w:style>
  <w:style w:type="character" w:styleId="22">
    <w:name w:val="HTML Sample"/>
    <w:basedOn w:val="11"/>
    <w:qFormat/>
    <w:uiPriority w:val="0"/>
    <w:rPr>
      <w:rFonts w:hint="default" w:ascii="monospace" w:hAnsi="monospace" w:eastAsia="monospace" w:cs="monospace"/>
      <w:sz w:val="24"/>
      <w:szCs w:val="24"/>
    </w:rPr>
  </w:style>
  <w:style w:type="character" w:customStyle="1" w:styleId="23">
    <w:name w:val="no42"/>
    <w:basedOn w:val="11"/>
    <w:qFormat/>
    <w:uiPriority w:val="0"/>
  </w:style>
  <w:style w:type="character" w:customStyle="1" w:styleId="24">
    <w:name w:val="ico-jiang2"/>
    <w:basedOn w:val="11"/>
    <w:qFormat/>
    <w:uiPriority w:val="0"/>
  </w:style>
  <w:style w:type="character" w:customStyle="1" w:styleId="25">
    <w:name w:val="top-icon"/>
    <w:basedOn w:val="11"/>
    <w:qFormat/>
    <w:uiPriority w:val="0"/>
  </w:style>
  <w:style w:type="character" w:customStyle="1" w:styleId="26">
    <w:name w:val="org_name2"/>
    <w:basedOn w:val="11"/>
    <w:qFormat/>
    <w:uiPriority w:val="0"/>
  </w:style>
  <w:style w:type="character" w:customStyle="1" w:styleId="27">
    <w:name w:val="no7"/>
    <w:basedOn w:val="11"/>
    <w:qFormat/>
    <w:uiPriority w:val="0"/>
  </w:style>
  <w:style w:type="character" w:customStyle="1" w:styleId="28">
    <w:name w:val="no52"/>
    <w:basedOn w:val="11"/>
    <w:qFormat/>
    <w:uiPriority w:val="0"/>
  </w:style>
  <w:style w:type="character" w:customStyle="1" w:styleId="29">
    <w:name w:val="no62"/>
    <w:basedOn w:val="11"/>
    <w:qFormat/>
    <w:uiPriority w:val="0"/>
  </w:style>
  <w:style w:type="character" w:customStyle="1" w:styleId="30">
    <w:name w:val="orange"/>
    <w:basedOn w:val="11"/>
    <w:qFormat/>
    <w:uiPriority w:val="0"/>
    <w:rPr>
      <w:color w:val="3FB58F"/>
    </w:rPr>
  </w:style>
  <w:style w:type="character" w:customStyle="1" w:styleId="31">
    <w:name w:val="ui-bz-bg-hover"/>
    <w:basedOn w:val="11"/>
    <w:qFormat/>
    <w:uiPriority w:val="0"/>
    <w:rPr>
      <w:shd w:val="clear" w:color="auto" w:fill="000000"/>
    </w:rPr>
  </w:style>
  <w:style w:type="character" w:customStyle="1" w:styleId="32">
    <w:name w:val="ui-bz-bg-hover1"/>
    <w:basedOn w:val="11"/>
    <w:qFormat/>
    <w:uiPriority w:val="0"/>
  </w:style>
  <w:style w:type="character" w:customStyle="1" w:styleId="33">
    <w:name w:val="my-notice1"/>
    <w:basedOn w:val="11"/>
    <w:qFormat/>
    <w:uiPriority w:val="0"/>
  </w:style>
  <w:style w:type="character" w:customStyle="1" w:styleId="34">
    <w:name w:val="my-class"/>
    <w:basedOn w:val="11"/>
    <w:qFormat/>
    <w:uiPriority w:val="0"/>
  </w:style>
  <w:style w:type="character" w:customStyle="1" w:styleId="35">
    <w:name w:val="bds_more"/>
    <w:basedOn w:val="11"/>
    <w:qFormat/>
    <w:uiPriority w:val="0"/>
  </w:style>
  <w:style w:type="character" w:customStyle="1" w:styleId="36">
    <w:name w:val="bds_more1"/>
    <w:basedOn w:val="11"/>
    <w:qFormat/>
    <w:uiPriority w:val="0"/>
    <w:rPr>
      <w:rFonts w:ascii="宋体 ! important" w:hAnsi="宋体 ! important" w:eastAsia="宋体 ! important" w:cs="宋体 ! important"/>
      <w:color w:val="454545"/>
      <w:sz w:val="18"/>
      <w:szCs w:val="18"/>
    </w:rPr>
  </w:style>
  <w:style w:type="character" w:customStyle="1" w:styleId="37">
    <w:name w:val="bds_more2"/>
    <w:basedOn w:val="11"/>
    <w:qFormat/>
    <w:uiPriority w:val="0"/>
    <w:rPr>
      <w:rFonts w:hint="eastAsia" w:ascii="宋体" w:hAnsi="宋体" w:eastAsia="宋体" w:cs="宋体"/>
    </w:rPr>
  </w:style>
  <w:style w:type="character" w:customStyle="1" w:styleId="38">
    <w:name w:val="bds_nopic"/>
    <w:basedOn w:val="11"/>
    <w:qFormat/>
    <w:uiPriority w:val="0"/>
  </w:style>
  <w:style w:type="character" w:customStyle="1" w:styleId="39">
    <w:name w:val="bds_nopic1"/>
    <w:basedOn w:val="11"/>
    <w:qFormat/>
    <w:uiPriority w:val="0"/>
  </w:style>
  <w:style w:type="character" w:customStyle="1" w:styleId="40">
    <w:name w:val="bds_nopic2"/>
    <w:basedOn w:val="11"/>
    <w:qFormat/>
    <w:uiPriority w:val="0"/>
  </w:style>
  <w:style w:type="character" w:customStyle="1" w:styleId="41">
    <w:name w:val="t-tag"/>
    <w:basedOn w:val="11"/>
    <w:qFormat/>
    <w:uiPriority w:val="0"/>
    <w:rPr>
      <w:color w:val="FFFFFF"/>
      <w:sz w:val="18"/>
      <w:szCs w:val="18"/>
      <w:shd w:val="clear" w:color="auto" w:fill="FE8833"/>
    </w:rPr>
  </w:style>
  <w:style w:type="character" w:customStyle="1" w:styleId="42">
    <w:name w:val="tip10"/>
    <w:basedOn w:val="11"/>
    <w:qFormat/>
    <w:uiPriority w:val="0"/>
    <w:rPr>
      <w:vanish/>
      <w:color w:val="FF0000"/>
      <w:sz w:val="18"/>
      <w:szCs w:val="18"/>
    </w:rPr>
  </w:style>
  <w:style w:type="character" w:customStyle="1" w:styleId="43">
    <w:name w:val="f-star"/>
    <w:basedOn w:val="11"/>
    <w:qFormat/>
    <w:uiPriority w:val="0"/>
    <w:rPr>
      <w:color w:val="999999"/>
      <w:sz w:val="21"/>
      <w:szCs w:val="21"/>
    </w:rPr>
  </w:style>
  <w:style w:type="character" w:customStyle="1" w:styleId="44">
    <w:name w:val="ico-jiang"/>
    <w:basedOn w:val="11"/>
    <w:qFormat/>
    <w:uiPriority w:val="0"/>
  </w:style>
  <w:style w:type="character" w:customStyle="1" w:styleId="45">
    <w:name w:val="ico-jiang1"/>
    <w:basedOn w:val="11"/>
    <w:qFormat/>
    <w:uiPriority w:val="0"/>
  </w:style>
  <w:style w:type="character" w:customStyle="1" w:styleId="46">
    <w:name w:val="no5"/>
    <w:basedOn w:val="11"/>
    <w:qFormat/>
    <w:uiPriority w:val="0"/>
  </w:style>
  <w:style w:type="character" w:customStyle="1" w:styleId="47">
    <w:name w:val="no72"/>
    <w:basedOn w:val="11"/>
    <w:qFormat/>
    <w:uiPriority w:val="0"/>
  </w:style>
  <w:style w:type="character" w:customStyle="1" w:styleId="48">
    <w:name w:val="orange6"/>
    <w:basedOn w:val="11"/>
    <w:qFormat/>
    <w:uiPriority w:val="0"/>
    <w:rPr>
      <w:color w:val="3FB58F"/>
    </w:rPr>
  </w:style>
  <w:style w:type="character" w:customStyle="1" w:styleId="49">
    <w:name w:val="批注框文本 Char"/>
    <w:basedOn w:val="11"/>
    <w:link w:val="7"/>
    <w:qFormat/>
    <w:uiPriority w:val="0"/>
    <w:rPr>
      <w:rFonts w:asciiTheme="minorHAnsi" w:hAnsiTheme="minorHAnsi" w:eastAsiaTheme="minorEastAsia" w:cstheme="minorBidi"/>
      <w:kern w:val="2"/>
      <w:sz w:val="18"/>
      <w:szCs w:val="18"/>
    </w:rPr>
  </w:style>
  <w:style w:type="paragraph" w:customStyle="1" w:styleId="50">
    <w:name w:val="正文 New"/>
    <w:qFormat/>
    <w:uiPriority w:val="0"/>
    <w:pPr>
      <w:widowControl w:val="0"/>
      <w:jc w:val="both"/>
    </w:pPr>
    <w:rPr>
      <w:rFonts w:ascii="Times New Roman" w:hAnsi="Times New Roman" w:eastAsia="宋体" w:cs="Times New Roman"/>
      <w:kern w:val="2"/>
      <w:sz w:val="21"/>
      <w:lang w:val="en-US" w:eastAsia="zh-CN" w:bidi="ar-SA"/>
    </w:rPr>
  </w:style>
  <w:style w:type="character" w:customStyle="1" w:styleId="51">
    <w:name w:val="页眉 Char"/>
    <w:basedOn w:val="11"/>
    <w:link w:val="9"/>
    <w:qFormat/>
    <w:uiPriority w:val="0"/>
    <w:rPr>
      <w:rFonts w:asciiTheme="minorHAnsi" w:hAnsiTheme="minorHAnsi" w:eastAsiaTheme="minorEastAsia" w:cstheme="minorBidi"/>
      <w:kern w:val="2"/>
      <w:sz w:val="18"/>
      <w:szCs w:val="18"/>
    </w:rPr>
  </w:style>
  <w:style w:type="character" w:customStyle="1" w:styleId="52">
    <w:name w:val="页脚 Char"/>
    <w:basedOn w:val="11"/>
    <w:link w:val="8"/>
    <w:qFormat/>
    <w:uiPriority w:val="0"/>
    <w:rPr>
      <w:rFonts w:asciiTheme="minorHAnsi" w:hAnsiTheme="minorHAnsi" w:eastAsiaTheme="minorEastAsia" w:cstheme="minorBidi"/>
      <w:kern w:val="2"/>
      <w:sz w:val="18"/>
      <w:szCs w:val="18"/>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oter" Target="footer1.xml"/>
  <Relationship Id="rId4" Type="http://schemas.openxmlformats.org/officeDocument/2006/relationships/theme" Target="theme/theme1.xml"/>
  <Relationship Id="rId5" Type="http://schemas.openxmlformats.org/officeDocument/2006/relationships/image" Target="media/image1.jpeg"/>
  <Relationship Id="rId6" Type="http://schemas.openxmlformats.org/officeDocument/2006/relationships/customXml" Target="../customXml/item1.xml"/>
  <Relationship Id="rId7" Type="http://schemas.openxmlformats.org/officeDocument/2006/relationships/numbering" Target="numbering.xml"/>
  <Relationship Id="rId8" Type="http://schemas.openxmlformats.org/officeDocument/2006/relationships/fontTable" Target="fontTable.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Relationships xmlns="http://schemas.openxmlformats.org/package/2006/relationships">
  <Relationship Id="rId1" Type="http://schemas.openxmlformats.org/officeDocument/2006/relationships/customXmlProps" Target="itemProps1.xml"/>
</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16</Pages>
  <Words>7418</Words>
  <Characters>7551</Characters>
  <Lines>15</Lines>
  <Paragraphs>4</Paragraphs>
  <TotalTime>230</TotalTime>
  <ScaleCrop>false</ScaleCrop>
  <LinksUpToDate>false</LinksUpToDate>
  <CharactersWithSpaces>7742</CharactersWithSpaces>
  <Application>WPS Office_11.1.0.11365_F1E327BC-269C-435d-A152-05C5408002CA</Application>
  <DocSecurity>0</DocSecurity>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2017-03-15T02:22:00Z</dcterms:created>
  <dc:creator>Administrator</dc:creator>
  <lastModifiedBy>Administrator</lastModifiedBy>
  <lastPrinted>2017-03-15T02:22:00Z</lastPrinted>
  <dcterms:modified xsi:type="dcterms:W3CDTF">2022-03-31T00:58:29Z</dcterms:modified>
  <revision>143</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C2F76C66546F46A4AA2459CA30B00811</vt:lpwstr>
  </property>
</Properties>
</file>